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12968833"/>
        <w:docPartObj>
          <w:docPartGallery w:val="Cover Pages"/>
          <w:docPartUnique/>
        </w:docPartObj>
      </w:sdtPr>
      <w:sdtEndPr/>
      <w:sdtContent>
        <w:p w14:paraId="1A7F3649" w14:textId="13B34401" w:rsidR="00D945BE" w:rsidRDefault="00D945BE"/>
        <w:tbl>
          <w:tblPr>
            <w:tblpPr w:leftFromText="187" w:rightFromText="187" w:vertAnchor="page" w:horzAnchor="page" w:tblpX="1981" w:tblpY="324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0B457B" w:rsidRPr="000B457B" w14:paraId="6B0FBC9F" w14:textId="77777777" w:rsidTr="00ED0A4C">
            <w:tc>
              <w:tcPr>
                <w:tcW w:w="7476" w:type="dxa"/>
                <w:tcMar>
                  <w:top w:w="216" w:type="dxa"/>
                  <w:left w:w="115" w:type="dxa"/>
                  <w:bottom w:w="216" w:type="dxa"/>
                  <w:right w:w="115" w:type="dxa"/>
                </w:tcMar>
              </w:tcPr>
              <w:p w14:paraId="5FA57F41" w14:textId="374A2B4D" w:rsidR="000B457B" w:rsidRPr="000B457B" w:rsidRDefault="00BD604E" w:rsidP="00ED0A4C">
                <w:pPr>
                  <w:pStyle w:val="NoSpacing"/>
                  <w:rPr>
                    <w:sz w:val="24"/>
                  </w:rPr>
                </w:pPr>
                <w:r>
                  <w:t>North Country Region</w:t>
                </w:r>
              </w:p>
            </w:tc>
          </w:tr>
          <w:tr w:rsidR="000B457B" w:rsidRPr="000B457B" w14:paraId="605B94DB" w14:textId="77777777" w:rsidTr="00ED0A4C">
            <w:tc>
              <w:tcPr>
                <w:tcW w:w="7476" w:type="dxa"/>
              </w:tcPr>
              <w:sdt>
                <w:sdtPr>
                  <w:rPr>
                    <w:rFonts w:eastAsiaTheme="majorEastAsia" w:cstheme="minorHAnsi"/>
                    <w:sz w:val="88"/>
                    <w:szCs w:val="88"/>
                  </w:rPr>
                  <w:alias w:val="Title"/>
                  <w:id w:val="-39439691"/>
                  <w:placeholder>
                    <w:docPart w:val="19589EDBDD0E4849B2FE2C6D4F7CC40F"/>
                  </w:placeholder>
                  <w:dataBinding w:prefixMappings="xmlns:ns0='http://schemas.openxmlformats.org/package/2006/metadata/core-properties' xmlns:ns1='http://purl.org/dc/elements/1.1/'" w:xpath="/ns0:coreProperties[1]/ns1:title[1]" w:storeItemID="{6C3C8BC8-F283-45AE-878A-BAB7291924A1}"/>
                  <w:text/>
                </w:sdtPr>
                <w:sdtEndPr/>
                <w:sdtContent>
                  <w:p w14:paraId="55C42210" w14:textId="00E94C65" w:rsidR="000B457B" w:rsidRPr="000B457B" w:rsidRDefault="00CE7528" w:rsidP="00ED0A4C">
                    <w:pPr>
                      <w:pStyle w:val="NoSpacing"/>
                      <w:spacing w:line="216" w:lineRule="auto"/>
                      <w:rPr>
                        <w:rFonts w:asciiTheme="majorHAnsi" w:eastAsiaTheme="majorEastAsia" w:hAnsiTheme="majorHAnsi" w:cstheme="majorBidi"/>
                        <w:sz w:val="88"/>
                        <w:szCs w:val="88"/>
                      </w:rPr>
                    </w:pPr>
                    <w:r>
                      <w:rPr>
                        <w:rFonts w:eastAsiaTheme="majorEastAsia" w:cstheme="minorHAnsi"/>
                        <w:sz w:val="88"/>
                        <w:szCs w:val="88"/>
                      </w:rPr>
                      <w:t>Region</w:t>
                    </w:r>
                    <w:r w:rsidR="008A77D0">
                      <w:rPr>
                        <w:rFonts w:eastAsiaTheme="majorEastAsia" w:cstheme="minorHAnsi"/>
                        <w:sz w:val="88"/>
                        <w:szCs w:val="88"/>
                      </w:rPr>
                      <w:t>al</w:t>
                    </w:r>
                    <w:r w:rsidR="00420B15">
                      <w:rPr>
                        <w:rFonts w:eastAsiaTheme="majorEastAsia" w:cstheme="minorHAnsi"/>
                        <w:sz w:val="88"/>
                        <w:szCs w:val="88"/>
                      </w:rPr>
                      <w:t xml:space="preserve"> Plan</w:t>
                    </w:r>
                  </w:p>
                </w:sdtContent>
              </w:sdt>
            </w:tc>
          </w:tr>
          <w:tr w:rsidR="000B457B" w:rsidRPr="000B457B" w14:paraId="732F02FD" w14:textId="77777777" w:rsidTr="00ED0A4C">
            <w:sdt>
              <w:sdtPr>
                <w:rPr>
                  <w:rFonts w:cstheme="minorHAnsi"/>
                  <w:sz w:val="24"/>
                  <w:szCs w:val="24"/>
                </w:rPr>
                <w:alias w:val="Subtitle"/>
                <w:id w:val="-1623833775"/>
                <w:placeholder>
                  <w:docPart w:val="78A8A33CC24B44D8BCBD8905FDCBDB86"/>
                </w:placeholder>
                <w:dataBinding w:prefixMappings="xmlns:ns0='http://schemas.openxmlformats.org/package/2006/metadata/core-properties' xmlns:ns1='http://purl.org/dc/elements/1.1/'" w:xpath="/ns0:coreProperties[1]/ns1:subject[1]" w:storeItemID="{6C3C8BC8-F283-45AE-878A-BAB7291924A1}"/>
                <w:text/>
              </w:sdtPr>
              <w:sdtEndPr/>
              <w:sdtContent>
                <w:tc>
                  <w:tcPr>
                    <w:tcW w:w="7476" w:type="dxa"/>
                    <w:tcMar>
                      <w:top w:w="216" w:type="dxa"/>
                      <w:left w:w="115" w:type="dxa"/>
                      <w:bottom w:w="216" w:type="dxa"/>
                      <w:right w:w="115" w:type="dxa"/>
                    </w:tcMar>
                  </w:tcPr>
                  <w:p w14:paraId="346A759E" w14:textId="3FDABAFE" w:rsidR="000B457B" w:rsidRPr="00FA19DF" w:rsidRDefault="000C330F" w:rsidP="00ED0A4C">
                    <w:pPr>
                      <w:pStyle w:val="NoSpacing"/>
                      <w:rPr>
                        <w:sz w:val="24"/>
                        <w:highlight w:val="yellow"/>
                      </w:rPr>
                    </w:pPr>
                    <w:r w:rsidRPr="007773E8">
                      <w:rPr>
                        <w:rFonts w:cstheme="minorHAnsi"/>
                        <w:sz w:val="24"/>
                        <w:szCs w:val="24"/>
                      </w:rPr>
                      <w:t>July 1, 2021 – June 30, 202</w:t>
                    </w:r>
                    <w:r w:rsidR="009E15C1">
                      <w:rPr>
                        <w:rFonts w:cstheme="minorHAnsi"/>
                        <w:sz w:val="24"/>
                        <w:szCs w:val="24"/>
                      </w:rPr>
                      <w:t>5</w:t>
                    </w:r>
                  </w:p>
                </w:tc>
              </w:sdtContent>
            </w:sdt>
          </w:tr>
        </w:tbl>
        <w:p w14:paraId="5F44837F" w14:textId="6D92A6E2" w:rsidR="000B457B" w:rsidRDefault="000B457B">
          <w:r>
            <w:br w:type="page"/>
          </w:r>
        </w:p>
        <w:p w14:paraId="0F71955F" w14:textId="173D91E3" w:rsidR="000B457B" w:rsidRPr="00ED0A4C" w:rsidRDefault="00ED0A4C" w:rsidP="00ED0A4C">
          <w:pPr>
            <w:pStyle w:val="Heading1"/>
            <w:rPr>
              <w:rFonts w:eastAsia="Times New Roman"/>
              <w:b/>
              <w:bCs/>
              <w:lang w:eastAsia="ar-SA"/>
            </w:rPr>
          </w:pPr>
          <w:bookmarkStart w:id="0" w:name="_Toc63162417"/>
          <w:r w:rsidRPr="00ED0A4C">
            <w:rPr>
              <w:rFonts w:eastAsia="Times New Roman"/>
              <w:b/>
              <w:bCs/>
              <w:lang w:eastAsia="ar-SA"/>
            </w:rPr>
            <w:lastRenderedPageBreak/>
            <w:t>Table of Contents</w:t>
          </w:r>
          <w:bookmarkEnd w:id="0"/>
        </w:p>
        <w:sdt>
          <w:sdtPr>
            <w:rPr>
              <w:rFonts w:eastAsiaTheme="minorHAnsi" w:cstheme="minorBidi"/>
              <w:sz w:val="22"/>
              <w:szCs w:val="22"/>
            </w:rPr>
            <w:id w:val="438648044"/>
            <w:docPartObj>
              <w:docPartGallery w:val="Table of Contents"/>
              <w:docPartUnique/>
            </w:docPartObj>
          </w:sdtPr>
          <w:sdtEndPr>
            <w:rPr>
              <w:b/>
              <w:bCs/>
              <w:noProof/>
            </w:rPr>
          </w:sdtEndPr>
          <w:sdtContent>
            <w:p w14:paraId="0BE4B7F9" w14:textId="73E4E7F2" w:rsidR="00ED0A4C" w:rsidRDefault="00ED0A4C">
              <w:pPr>
                <w:pStyle w:val="TOCHeading"/>
              </w:pPr>
            </w:p>
            <w:p w14:paraId="59A0AC6A" w14:textId="66F3E1B3" w:rsidR="003D306B" w:rsidRDefault="00ED0A4C">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63162417" w:history="1">
                <w:r w:rsidR="003D306B" w:rsidRPr="004474F3">
                  <w:rPr>
                    <w:rStyle w:val="Hyperlink"/>
                    <w:rFonts w:eastAsia="Times New Roman"/>
                    <w:b/>
                    <w:bCs/>
                    <w:noProof/>
                    <w:lang w:eastAsia="ar-SA"/>
                  </w:rPr>
                  <w:t>Table of Contents</w:t>
                </w:r>
                <w:r w:rsidR="003D306B">
                  <w:rPr>
                    <w:noProof/>
                    <w:webHidden/>
                  </w:rPr>
                  <w:tab/>
                </w:r>
                <w:r w:rsidR="003D306B">
                  <w:rPr>
                    <w:noProof/>
                    <w:webHidden/>
                  </w:rPr>
                  <w:fldChar w:fldCharType="begin"/>
                </w:r>
                <w:r w:rsidR="003D306B">
                  <w:rPr>
                    <w:noProof/>
                    <w:webHidden/>
                  </w:rPr>
                  <w:instrText xml:space="preserve"> PAGEREF _Toc63162417 \h </w:instrText>
                </w:r>
                <w:r w:rsidR="003D306B">
                  <w:rPr>
                    <w:noProof/>
                    <w:webHidden/>
                  </w:rPr>
                </w:r>
                <w:r w:rsidR="003D306B">
                  <w:rPr>
                    <w:noProof/>
                    <w:webHidden/>
                  </w:rPr>
                  <w:fldChar w:fldCharType="separate"/>
                </w:r>
                <w:r w:rsidR="009E0A8A">
                  <w:rPr>
                    <w:noProof/>
                    <w:webHidden/>
                  </w:rPr>
                  <w:t>1</w:t>
                </w:r>
                <w:r w:rsidR="003D306B">
                  <w:rPr>
                    <w:noProof/>
                    <w:webHidden/>
                  </w:rPr>
                  <w:fldChar w:fldCharType="end"/>
                </w:r>
              </w:hyperlink>
            </w:p>
            <w:p w14:paraId="04034F47" w14:textId="3FA97512" w:rsidR="003D306B" w:rsidRDefault="001A1EA2">
              <w:pPr>
                <w:pStyle w:val="TOC1"/>
                <w:tabs>
                  <w:tab w:val="right" w:leader="dot" w:pos="9350"/>
                </w:tabs>
                <w:rPr>
                  <w:rFonts w:eastAsiaTheme="minorEastAsia"/>
                  <w:noProof/>
                </w:rPr>
              </w:pPr>
              <w:hyperlink w:anchor="_Toc63162418" w:history="1">
                <w:r w:rsidR="003D306B" w:rsidRPr="004474F3">
                  <w:rPr>
                    <w:rStyle w:val="Hyperlink"/>
                    <w:b/>
                    <w:bCs/>
                    <w:noProof/>
                  </w:rPr>
                  <w:t>Regional Service Strategies</w:t>
                </w:r>
                <w:r w:rsidR="003D306B">
                  <w:rPr>
                    <w:noProof/>
                    <w:webHidden/>
                  </w:rPr>
                  <w:tab/>
                </w:r>
                <w:r w:rsidR="003D306B">
                  <w:rPr>
                    <w:noProof/>
                    <w:webHidden/>
                  </w:rPr>
                  <w:fldChar w:fldCharType="begin"/>
                </w:r>
                <w:r w:rsidR="003D306B">
                  <w:rPr>
                    <w:noProof/>
                    <w:webHidden/>
                  </w:rPr>
                  <w:instrText xml:space="preserve"> PAGEREF _Toc63162418 \h </w:instrText>
                </w:r>
                <w:r w:rsidR="003D306B">
                  <w:rPr>
                    <w:noProof/>
                    <w:webHidden/>
                  </w:rPr>
                </w:r>
                <w:r w:rsidR="003D306B">
                  <w:rPr>
                    <w:noProof/>
                    <w:webHidden/>
                  </w:rPr>
                  <w:fldChar w:fldCharType="separate"/>
                </w:r>
                <w:r w:rsidR="009E0A8A">
                  <w:rPr>
                    <w:noProof/>
                    <w:webHidden/>
                  </w:rPr>
                  <w:t>2</w:t>
                </w:r>
                <w:r w:rsidR="003D306B">
                  <w:rPr>
                    <w:noProof/>
                    <w:webHidden/>
                  </w:rPr>
                  <w:fldChar w:fldCharType="end"/>
                </w:r>
              </w:hyperlink>
            </w:p>
            <w:p w14:paraId="0E05186F" w14:textId="7C85FC71" w:rsidR="003D306B" w:rsidRDefault="001A1EA2">
              <w:pPr>
                <w:pStyle w:val="TOC1"/>
                <w:tabs>
                  <w:tab w:val="right" w:leader="dot" w:pos="9350"/>
                </w:tabs>
                <w:rPr>
                  <w:rFonts w:eastAsiaTheme="minorEastAsia"/>
                  <w:noProof/>
                </w:rPr>
              </w:pPr>
              <w:hyperlink w:anchor="_Toc63162419" w:history="1">
                <w:r w:rsidR="003D306B" w:rsidRPr="004474F3">
                  <w:rPr>
                    <w:rStyle w:val="Hyperlink"/>
                    <w:b/>
                    <w:bCs/>
                    <w:noProof/>
                  </w:rPr>
                  <w:t>Sector Initiatives for In-demand Industry Sectors or Occupations</w:t>
                </w:r>
                <w:r w:rsidR="003D306B">
                  <w:rPr>
                    <w:noProof/>
                    <w:webHidden/>
                  </w:rPr>
                  <w:tab/>
                </w:r>
                <w:r w:rsidR="003D306B">
                  <w:rPr>
                    <w:noProof/>
                    <w:webHidden/>
                  </w:rPr>
                  <w:fldChar w:fldCharType="begin"/>
                </w:r>
                <w:r w:rsidR="003D306B">
                  <w:rPr>
                    <w:noProof/>
                    <w:webHidden/>
                  </w:rPr>
                  <w:instrText xml:space="preserve"> PAGEREF _Toc63162419 \h </w:instrText>
                </w:r>
                <w:r w:rsidR="003D306B">
                  <w:rPr>
                    <w:noProof/>
                    <w:webHidden/>
                  </w:rPr>
                </w:r>
                <w:r w:rsidR="003D306B">
                  <w:rPr>
                    <w:noProof/>
                    <w:webHidden/>
                  </w:rPr>
                  <w:fldChar w:fldCharType="separate"/>
                </w:r>
                <w:r w:rsidR="009E0A8A">
                  <w:rPr>
                    <w:noProof/>
                    <w:webHidden/>
                  </w:rPr>
                  <w:t>3</w:t>
                </w:r>
                <w:r w:rsidR="003D306B">
                  <w:rPr>
                    <w:noProof/>
                    <w:webHidden/>
                  </w:rPr>
                  <w:fldChar w:fldCharType="end"/>
                </w:r>
              </w:hyperlink>
            </w:p>
            <w:p w14:paraId="7487124B" w14:textId="2450C1A5" w:rsidR="003D306B" w:rsidRDefault="001A1EA2">
              <w:pPr>
                <w:pStyle w:val="TOC1"/>
                <w:tabs>
                  <w:tab w:val="right" w:leader="dot" w:pos="9350"/>
                </w:tabs>
                <w:rPr>
                  <w:rFonts w:eastAsiaTheme="minorEastAsia"/>
                  <w:noProof/>
                </w:rPr>
              </w:pPr>
              <w:hyperlink w:anchor="_Toc63162420" w:history="1">
                <w:r w:rsidR="003D306B" w:rsidRPr="004474F3">
                  <w:rPr>
                    <w:rStyle w:val="Hyperlink"/>
                    <w:b/>
                    <w:bCs/>
                    <w:noProof/>
                  </w:rPr>
                  <w:t>Regional Labor Market Analysis</w:t>
                </w:r>
                <w:r w:rsidR="003D306B">
                  <w:rPr>
                    <w:noProof/>
                    <w:webHidden/>
                  </w:rPr>
                  <w:tab/>
                </w:r>
                <w:r w:rsidR="003D306B">
                  <w:rPr>
                    <w:noProof/>
                    <w:webHidden/>
                  </w:rPr>
                  <w:fldChar w:fldCharType="begin"/>
                </w:r>
                <w:r w:rsidR="003D306B">
                  <w:rPr>
                    <w:noProof/>
                    <w:webHidden/>
                  </w:rPr>
                  <w:instrText xml:space="preserve"> PAGEREF _Toc63162420 \h </w:instrText>
                </w:r>
                <w:r w:rsidR="003D306B">
                  <w:rPr>
                    <w:noProof/>
                    <w:webHidden/>
                  </w:rPr>
                </w:r>
                <w:r w:rsidR="003D306B">
                  <w:rPr>
                    <w:noProof/>
                    <w:webHidden/>
                  </w:rPr>
                  <w:fldChar w:fldCharType="separate"/>
                </w:r>
                <w:r w:rsidR="009E0A8A">
                  <w:rPr>
                    <w:noProof/>
                    <w:webHidden/>
                  </w:rPr>
                  <w:t>4</w:t>
                </w:r>
                <w:r w:rsidR="003D306B">
                  <w:rPr>
                    <w:noProof/>
                    <w:webHidden/>
                  </w:rPr>
                  <w:fldChar w:fldCharType="end"/>
                </w:r>
              </w:hyperlink>
            </w:p>
            <w:p w14:paraId="7CD5BB62" w14:textId="53254ECC" w:rsidR="003D306B" w:rsidRDefault="001A1EA2">
              <w:pPr>
                <w:pStyle w:val="TOC1"/>
                <w:tabs>
                  <w:tab w:val="right" w:leader="dot" w:pos="9350"/>
                </w:tabs>
                <w:rPr>
                  <w:rFonts w:eastAsiaTheme="minorEastAsia"/>
                  <w:noProof/>
                </w:rPr>
              </w:pPr>
              <w:hyperlink w:anchor="_Toc63162421" w:history="1">
                <w:r w:rsidR="003D306B" w:rsidRPr="004474F3">
                  <w:rPr>
                    <w:rStyle w:val="Hyperlink"/>
                    <w:b/>
                    <w:bCs/>
                    <w:noProof/>
                  </w:rPr>
                  <w:t>Regional Spending Plan</w:t>
                </w:r>
                <w:r w:rsidR="003D306B">
                  <w:rPr>
                    <w:noProof/>
                    <w:webHidden/>
                  </w:rPr>
                  <w:tab/>
                </w:r>
                <w:r w:rsidR="003D306B">
                  <w:rPr>
                    <w:noProof/>
                    <w:webHidden/>
                  </w:rPr>
                  <w:fldChar w:fldCharType="begin"/>
                </w:r>
                <w:r w:rsidR="003D306B">
                  <w:rPr>
                    <w:noProof/>
                    <w:webHidden/>
                  </w:rPr>
                  <w:instrText xml:space="preserve"> PAGEREF _Toc63162421 \h </w:instrText>
                </w:r>
                <w:r w:rsidR="003D306B">
                  <w:rPr>
                    <w:noProof/>
                    <w:webHidden/>
                  </w:rPr>
                </w:r>
                <w:r w:rsidR="003D306B">
                  <w:rPr>
                    <w:noProof/>
                    <w:webHidden/>
                  </w:rPr>
                  <w:fldChar w:fldCharType="separate"/>
                </w:r>
                <w:r w:rsidR="009E0A8A">
                  <w:rPr>
                    <w:noProof/>
                    <w:webHidden/>
                  </w:rPr>
                  <w:t>5</w:t>
                </w:r>
                <w:r w:rsidR="003D306B">
                  <w:rPr>
                    <w:noProof/>
                    <w:webHidden/>
                  </w:rPr>
                  <w:fldChar w:fldCharType="end"/>
                </w:r>
              </w:hyperlink>
            </w:p>
            <w:p w14:paraId="2E828D6C" w14:textId="79E9BF26" w:rsidR="003D306B" w:rsidRDefault="001A1EA2">
              <w:pPr>
                <w:pStyle w:val="TOC1"/>
                <w:tabs>
                  <w:tab w:val="right" w:leader="dot" w:pos="9350"/>
                </w:tabs>
                <w:rPr>
                  <w:rFonts w:eastAsiaTheme="minorEastAsia"/>
                  <w:noProof/>
                </w:rPr>
              </w:pPr>
              <w:hyperlink w:anchor="_Toc63162422" w:history="1">
                <w:r w:rsidR="003D306B" w:rsidRPr="004474F3">
                  <w:rPr>
                    <w:rStyle w:val="Hyperlink"/>
                    <w:b/>
                    <w:bCs/>
                    <w:noProof/>
                  </w:rPr>
                  <w:t>Supportive Services</w:t>
                </w:r>
                <w:r w:rsidR="003D306B">
                  <w:rPr>
                    <w:noProof/>
                    <w:webHidden/>
                  </w:rPr>
                  <w:tab/>
                </w:r>
                <w:r w:rsidR="003D306B">
                  <w:rPr>
                    <w:noProof/>
                    <w:webHidden/>
                  </w:rPr>
                  <w:fldChar w:fldCharType="begin"/>
                </w:r>
                <w:r w:rsidR="003D306B">
                  <w:rPr>
                    <w:noProof/>
                    <w:webHidden/>
                  </w:rPr>
                  <w:instrText xml:space="preserve"> PAGEREF _Toc63162422 \h </w:instrText>
                </w:r>
                <w:r w:rsidR="003D306B">
                  <w:rPr>
                    <w:noProof/>
                    <w:webHidden/>
                  </w:rPr>
                </w:r>
                <w:r w:rsidR="003D306B">
                  <w:rPr>
                    <w:noProof/>
                    <w:webHidden/>
                  </w:rPr>
                  <w:fldChar w:fldCharType="separate"/>
                </w:r>
                <w:r w:rsidR="009E0A8A">
                  <w:rPr>
                    <w:noProof/>
                    <w:webHidden/>
                  </w:rPr>
                  <w:t>6</w:t>
                </w:r>
                <w:r w:rsidR="003D306B">
                  <w:rPr>
                    <w:noProof/>
                    <w:webHidden/>
                  </w:rPr>
                  <w:fldChar w:fldCharType="end"/>
                </w:r>
              </w:hyperlink>
            </w:p>
            <w:p w14:paraId="61783496" w14:textId="6F36D9B0" w:rsidR="003D306B" w:rsidRDefault="001A1EA2">
              <w:pPr>
                <w:pStyle w:val="TOC1"/>
                <w:tabs>
                  <w:tab w:val="right" w:leader="dot" w:pos="9350"/>
                </w:tabs>
                <w:rPr>
                  <w:rFonts w:eastAsiaTheme="minorEastAsia"/>
                  <w:noProof/>
                </w:rPr>
              </w:pPr>
              <w:hyperlink w:anchor="_Toc63162423" w:history="1">
                <w:r w:rsidR="003D306B" w:rsidRPr="004474F3">
                  <w:rPr>
                    <w:rStyle w:val="Hyperlink"/>
                    <w:b/>
                    <w:bCs/>
                    <w:noProof/>
                  </w:rPr>
                  <w:t>Economic Development</w:t>
                </w:r>
                <w:r w:rsidR="003D306B">
                  <w:rPr>
                    <w:noProof/>
                    <w:webHidden/>
                  </w:rPr>
                  <w:tab/>
                </w:r>
                <w:r w:rsidR="003D306B">
                  <w:rPr>
                    <w:noProof/>
                    <w:webHidden/>
                  </w:rPr>
                  <w:fldChar w:fldCharType="begin"/>
                </w:r>
                <w:r w:rsidR="003D306B">
                  <w:rPr>
                    <w:noProof/>
                    <w:webHidden/>
                  </w:rPr>
                  <w:instrText xml:space="preserve"> PAGEREF _Toc63162423 \h </w:instrText>
                </w:r>
                <w:r w:rsidR="003D306B">
                  <w:rPr>
                    <w:noProof/>
                    <w:webHidden/>
                  </w:rPr>
                </w:r>
                <w:r w:rsidR="003D306B">
                  <w:rPr>
                    <w:noProof/>
                    <w:webHidden/>
                  </w:rPr>
                  <w:fldChar w:fldCharType="separate"/>
                </w:r>
                <w:r w:rsidR="009E0A8A">
                  <w:rPr>
                    <w:noProof/>
                    <w:webHidden/>
                  </w:rPr>
                  <w:t>6</w:t>
                </w:r>
                <w:r w:rsidR="003D306B">
                  <w:rPr>
                    <w:noProof/>
                    <w:webHidden/>
                  </w:rPr>
                  <w:fldChar w:fldCharType="end"/>
                </w:r>
              </w:hyperlink>
            </w:p>
            <w:p w14:paraId="5B863BDA" w14:textId="6FDCBB43" w:rsidR="003D306B" w:rsidRDefault="001A1EA2">
              <w:pPr>
                <w:pStyle w:val="TOC1"/>
                <w:tabs>
                  <w:tab w:val="right" w:leader="dot" w:pos="9350"/>
                </w:tabs>
                <w:rPr>
                  <w:rFonts w:eastAsiaTheme="minorEastAsia"/>
                  <w:noProof/>
                </w:rPr>
              </w:pPr>
              <w:hyperlink w:anchor="_Toc63162424" w:history="1">
                <w:r w:rsidR="003D306B" w:rsidRPr="004474F3">
                  <w:rPr>
                    <w:rStyle w:val="Hyperlink"/>
                    <w:b/>
                    <w:bCs/>
                    <w:noProof/>
                  </w:rPr>
                  <w:t>Performance Accountability Measure Negotiation and Reporting Agreement</w:t>
                </w:r>
                <w:r w:rsidR="003D306B">
                  <w:rPr>
                    <w:noProof/>
                    <w:webHidden/>
                  </w:rPr>
                  <w:tab/>
                </w:r>
                <w:r w:rsidR="003D306B">
                  <w:rPr>
                    <w:noProof/>
                    <w:webHidden/>
                  </w:rPr>
                  <w:fldChar w:fldCharType="begin"/>
                </w:r>
                <w:r w:rsidR="003D306B">
                  <w:rPr>
                    <w:noProof/>
                    <w:webHidden/>
                  </w:rPr>
                  <w:instrText xml:space="preserve"> PAGEREF _Toc63162424 \h </w:instrText>
                </w:r>
                <w:r w:rsidR="003D306B">
                  <w:rPr>
                    <w:noProof/>
                    <w:webHidden/>
                  </w:rPr>
                </w:r>
                <w:r w:rsidR="003D306B">
                  <w:rPr>
                    <w:noProof/>
                    <w:webHidden/>
                  </w:rPr>
                  <w:fldChar w:fldCharType="separate"/>
                </w:r>
                <w:r w:rsidR="009E0A8A">
                  <w:rPr>
                    <w:noProof/>
                    <w:webHidden/>
                  </w:rPr>
                  <w:t>7</w:t>
                </w:r>
                <w:r w:rsidR="003D306B">
                  <w:rPr>
                    <w:noProof/>
                    <w:webHidden/>
                  </w:rPr>
                  <w:fldChar w:fldCharType="end"/>
                </w:r>
              </w:hyperlink>
            </w:p>
            <w:p w14:paraId="47B30079" w14:textId="141B2E47" w:rsidR="003D306B" w:rsidRDefault="001A1EA2">
              <w:pPr>
                <w:pStyle w:val="TOC1"/>
                <w:tabs>
                  <w:tab w:val="right" w:leader="dot" w:pos="9350"/>
                </w:tabs>
                <w:rPr>
                  <w:rFonts w:eastAsiaTheme="minorEastAsia"/>
                  <w:noProof/>
                </w:rPr>
              </w:pPr>
              <w:hyperlink w:anchor="_Toc63162425" w:history="1">
                <w:r w:rsidR="003D306B" w:rsidRPr="004474F3">
                  <w:rPr>
                    <w:rStyle w:val="Hyperlink"/>
                    <w:b/>
                    <w:bCs/>
                    <w:noProof/>
                  </w:rPr>
                  <w:t>Public Comment</w:t>
                </w:r>
                <w:r w:rsidR="003D306B">
                  <w:rPr>
                    <w:noProof/>
                    <w:webHidden/>
                  </w:rPr>
                  <w:tab/>
                </w:r>
                <w:r w:rsidR="003D306B">
                  <w:rPr>
                    <w:noProof/>
                    <w:webHidden/>
                  </w:rPr>
                  <w:fldChar w:fldCharType="begin"/>
                </w:r>
                <w:r w:rsidR="003D306B">
                  <w:rPr>
                    <w:noProof/>
                    <w:webHidden/>
                  </w:rPr>
                  <w:instrText xml:space="preserve"> PAGEREF _Toc63162425 \h </w:instrText>
                </w:r>
                <w:r w:rsidR="003D306B">
                  <w:rPr>
                    <w:noProof/>
                    <w:webHidden/>
                  </w:rPr>
                </w:r>
                <w:r w:rsidR="003D306B">
                  <w:rPr>
                    <w:noProof/>
                    <w:webHidden/>
                  </w:rPr>
                  <w:fldChar w:fldCharType="separate"/>
                </w:r>
                <w:r w:rsidR="009E0A8A">
                  <w:rPr>
                    <w:noProof/>
                    <w:webHidden/>
                  </w:rPr>
                  <w:t>8</w:t>
                </w:r>
                <w:r w:rsidR="003D306B">
                  <w:rPr>
                    <w:noProof/>
                    <w:webHidden/>
                  </w:rPr>
                  <w:fldChar w:fldCharType="end"/>
                </w:r>
              </w:hyperlink>
            </w:p>
            <w:p w14:paraId="607271BE" w14:textId="3925F979" w:rsidR="00ED0A4C" w:rsidRDefault="00ED0A4C">
              <w:r>
                <w:rPr>
                  <w:b/>
                  <w:bCs/>
                  <w:noProof/>
                </w:rPr>
                <w:fldChar w:fldCharType="end"/>
              </w:r>
            </w:p>
          </w:sdtContent>
        </w:sdt>
        <w:p w14:paraId="1361040A" w14:textId="77777777" w:rsidR="00ED0A4C" w:rsidRPr="000B457B" w:rsidRDefault="00ED0A4C" w:rsidP="00ED0A4C">
          <w:pPr>
            <w:suppressAutoHyphens/>
            <w:spacing w:after="200" w:line="276" w:lineRule="auto"/>
            <w:rPr>
              <w:rFonts w:ascii="Cambria" w:eastAsia="Times New Roman" w:hAnsi="Cambria" w:cs="Times New Roman"/>
              <w:sz w:val="24"/>
              <w:szCs w:val="24"/>
              <w:lang w:eastAsia="ar-SA"/>
            </w:rPr>
          </w:pPr>
        </w:p>
        <w:p w14:paraId="11C4D515" w14:textId="70DC1663" w:rsidR="000B457B" w:rsidRDefault="000B457B"/>
        <w:p w14:paraId="4653CDB9" w14:textId="1808127E" w:rsidR="000B457B" w:rsidRDefault="000B457B"/>
        <w:p w14:paraId="08BA2EEA" w14:textId="69A670E4" w:rsidR="000B457B" w:rsidRDefault="000B457B"/>
        <w:p w14:paraId="3145C946" w14:textId="5D47523A" w:rsidR="000B457B" w:rsidRDefault="000B457B"/>
        <w:p w14:paraId="142A6612" w14:textId="399A82B4" w:rsidR="000B457B" w:rsidRDefault="000B457B"/>
        <w:p w14:paraId="7794F5C6" w14:textId="28A5AA96" w:rsidR="000B457B" w:rsidRDefault="000B457B"/>
        <w:p w14:paraId="768E077E" w14:textId="41C26628" w:rsidR="000B457B" w:rsidRDefault="000B457B"/>
        <w:p w14:paraId="7EA8263C" w14:textId="13CFB4D9" w:rsidR="000B457B" w:rsidRDefault="000B457B"/>
        <w:p w14:paraId="2259B5C9" w14:textId="669FA866" w:rsidR="000B457B" w:rsidRDefault="000B457B"/>
        <w:p w14:paraId="160C3CBB" w14:textId="77777777" w:rsidR="000B457B" w:rsidRDefault="000B457B"/>
        <w:p w14:paraId="6B5D4442" w14:textId="77777777" w:rsidR="00ED0A4C" w:rsidRDefault="00ED0A4C"/>
        <w:p w14:paraId="3BBF0DA1" w14:textId="77777777" w:rsidR="00ED0A4C" w:rsidRDefault="00ED0A4C"/>
        <w:p w14:paraId="1AF40993" w14:textId="77777777" w:rsidR="00ED0A4C" w:rsidRDefault="00ED0A4C"/>
        <w:p w14:paraId="5EC53D5E" w14:textId="77777777" w:rsidR="00985C8D" w:rsidRDefault="00985C8D"/>
        <w:p w14:paraId="31E33742" w14:textId="2C653677" w:rsidR="00985C8D" w:rsidRPr="00AB3DF9" w:rsidRDefault="001A1EA2" w:rsidP="00AB3DF9">
          <w:pPr>
            <w:rPr>
              <w:rStyle w:val="Strong"/>
              <w:b w:val="0"/>
              <w:bCs w:val="0"/>
            </w:rPr>
          </w:pPr>
        </w:p>
      </w:sdtContent>
    </w:sdt>
    <w:bookmarkStart w:id="1" w:name="_Toc55473302" w:displacedByCustomXml="prev"/>
    <w:p w14:paraId="0D52C73C" w14:textId="79A45F26" w:rsidR="00D057E1" w:rsidRPr="000B457B" w:rsidRDefault="00985C8D" w:rsidP="000B457B">
      <w:pPr>
        <w:pStyle w:val="Heading1"/>
        <w:rPr>
          <w:rStyle w:val="Strong"/>
        </w:rPr>
      </w:pPr>
      <w:bookmarkStart w:id="2" w:name="_Toc63162418"/>
      <w:r>
        <w:rPr>
          <w:rStyle w:val="Strong"/>
        </w:rPr>
        <w:lastRenderedPageBreak/>
        <w:t>Regional Service Strategies</w:t>
      </w:r>
      <w:bookmarkEnd w:id="1"/>
      <w:bookmarkEnd w:id="2"/>
    </w:p>
    <w:p w14:paraId="1B5C004E" w14:textId="563777DE" w:rsidR="00985C8D" w:rsidRPr="00502D71" w:rsidRDefault="00985C8D" w:rsidP="00502D71">
      <w:pPr>
        <w:pStyle w:val="ListParagraph"/>
        <w:numPr>
          <w:ilvl w:val="0"/>
          <w:numId w:val="32"/>
        </w:numPr>
        <w:spacing w:before="240" w:after="0"/>
        <w:ind w:left="360"/>
        <w:rPr>
          <w:rStyle w:val="Hyperlink"/>
          <w:color w:val="auto"/>
          <w:u w:val="none"/>
        </w:rPr>
      </w:pPr>
      <w:r w:rsidRPr="00502D71">
        <w:rPr>
          <w:rStyle w:val="Hyperlink"/>
          <w:color w:val="auto"/>
          <w:u w:val="none"/>
        </w:rPr>
        <w:t>Identify regional plan strategies and specific</w:t>
      </w:r>
      <w:r w:rsidR="00AA5424">
        <w:rPr>
          <w:rStyle w:val="Hyperlink"/>
          <w:color w:val="auto"/>
          <w:u w:val="none"/>
        </w:rPr>
        <w:t>ally</w:t>
      </w:r>
      <w:r w:rsidRPr="00502D71">
        <w:rPr>
          <w:rStyle w:val="Hyperlink"/>
          <w:color w:val="auto"/>
          <w:u w:val="none"/>
        </w:rPr>
        <w:t xml:space="preserve"> provide detail </w:t>
      </w:r>
      <w:r w:rsidR="00502D71" w:rsidRPr="00502D71">
        <w:rPr>
          <w:rStyle w:val="Hyperlink"/>
          <w:color w:val="auto"/>
          <w:u w:val="none"/>
        </w:rPr>
        <w:t>on how regional plan strategies relate to the workforce needs of local businesses as well as the priority projects from the Regional Economic Development Council (REDC).</w:t>
      </w:r>
    </w:p>
    <w:tbl>
      <w:tblPr>
        <w:tblW w:w="0" w:type="auto"/>
        <w:tblInd w:w="520" w:type="dxa"/>
        <w:tblLayout w:type="fixed"/>
        <w:tblLook w:val="0000" w:firstRow="0" w:lastRow="0" w:firstColumn="0" w:lastColumn="0" w:noHBand="0" w:noVBand="0"/>
      </w:tblPr>
      <w:tblGrid>
        <w:gridCol w:w="8312"/>
      </w:tblGrid>
      <w:tr w:rsidR="00502D71" w14:paraId="788D88C6" w14:textId="77777777" w:rsidTr="00805721">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5ABD65F" w14:textId="1E10E135" w:rsidR="004C1222" w:rsidRDefault="004C1222" w:rsidP="004C1222">
            <w:pPr>
              <w:spacing w:after="0" w:line="240" w:lineRule="auto"/>
            </w:pPr>
            <w:r>
              <w:t>The three North Country Local Workforce Development Boards oversee workforce development activities in seven North Country counties, including:</w:t>
            </w:r>
          </w:p>
          <w:p w14:paraId="089C6BEC" w14:textId="77777777" w:rsidR="004C1222" w:rsidRDefault="004C1222" w:rsidP="004C1222">
            <w:pPr>
              <w:spacing w:after="0" w:line="240" w:lineRule="auto"/>
            </w:pPr>
          </w:p>
          <w:p w14:paraId="18AEA85E" w14:textId="77777777" w:rsidR="004C1222" w:rsidRDefault="004C1222" w:rsidP="004C1222">
            <w:pPr>
              <w:pStyle w:val="ListParagraph"/>
              <w:numPr>
                <w:ilvl w:val="0"/>
                <w:numId w:val="34"/>
              </w:numPr>
              <w:spacing w:after="0" w:line="240" w:lineRule="auto"/>
            </w:pPr>
            <w:r>
              <w:t>Jefferson-Lewis – Jefferson and Lewis counties</w:t>
            </w:r>
          </w:p>
          <w:p w14:paraId="7F7DD032" w14:textId="77777777" w:rsidR="004C1222" w:rsidRDefault="004C1222" w:rsidP="004C1222">
            <w:pPr>
              <w:pStyle w:val="ListParagraph"/>
              <w:numPr>
                <w:ilvl w:val="0"/>
                <w:numId w:val="34"/>
              </w:numPr>
              <w:spacing w:after="0" w:line="240" w:lineRule="auto"/>
            </w:pPr>
            <w:r>
              <w:t>North Country – Clinton, Essex, Franklin, and Hamilton counties</w:t>
            </w:r>
          </w:p>
          <w:p w14:paraId="18A91B42" w14:textId="57F3191A" w:rsidR="004C1222" w:rsidRDefault="004C1222" w:rsidP="004C1222">
            <w:pPr>
              <w:pStyle w:val="ListParagraph"/>
              <w:numPr>
                <w:ilvl w:val="0"/>
                <w:numId w:val="34"/>
              </w:numPr>
              <w:spacing w:after="0" w:line="240" w:lineRule="auto"/>
            </w:pPr>
            <w:r>
              <w:t>St. Lawrence – St. Lawrence County</w:t>
            </w:r>
          </w:p>
          <w:p w14:paraId="2416E9B7" w14:textId="77777777" w:rsidR="004C1222" w:rsidRDefault="004C1222" w:rsidP="004C1222">
            <w:pPr>
              <w:pStyle w:val="ListParagraph"/>
              <w:spacing w:after="0" w:line="240" w:lineRule="auto"/>
            </w:pPr>
          </w:p>
          <w:p w14:paraId="1EA42FB2" w14:textId="68B4E2A1" w:rsidR="004C1222" w:rsidRDefault="004C1222" w:rsidP="004C1222">
            <w:pPr>
              <w:spacing w:after="0" w:line="240" w:lineRule="auto"/>
            </w:pPr>
            <w:r>
              <w:t>The same seven counties also comprise the seven-county region assigned to the North Country Regional Economic Development Council (NCREDC).    This is a congruence between the territory served by both the NCREDC and the three Workforce Development Boards (WDB).</w:t>
            </w:r>
          </w:p>
          <w:p w14:paraId="7E6731EC" w14:textId="77777777" w:rsidR="004C1222" w:rsidRDefault="004C1222" w:rsidP="004C1222">
            <w:pPr>
              <w:spacing w:after="0" w:line="240" w:lineRule="auto"/>
            </w:pPr>
          </w:p>
          <w:p w14:paraId="68960032" w14:textId="73E50304" w:rsidR="004C1222" w:rsidRDefault="004C1222" w:rsidP="004C1222">
            <w:pPr>
              <w:spacing w:after="0" w:line="240" w:lineRule="auto"/>
            </w:pPr>
            <w:r>
              <w:t xml:space="preserve">The North County region constitutes approximately 23% of the New York State’s land area and is home to approximately </w:t>
            </w:r>
            <w:r w:rsidRPr="0020058A">
              <w:t>2.23</w:t>
            </w:r>
            <w:r>
              <w:t xml:space="preserve">% of the state’s population.  In addition, the region has no population center where economic and workforce activities are focused within the region.  Its two most populous cities, Plattsburgh and Watertown – include populations of about 32,901 and 35,505respectively (EMSI April 2021)– are located approximately 160 miles apart; resulting in a three-hour drive from one city to the other (in good weather).  Furthermore, about </w:t>
            </w:r>
            <w:r w:rsidRPr="00065C5D">
              <w:t>1</w:t>
            </w:r>
            <w:r>
              <w:t xml:space="preserve">8% of the region’s population resides in its two major “population centers." </w:t>
            </w:r>
          </w:p>
          <w:p w14:paraId="33B198D4" w14:textId="3F40D7E7" w:rsidR="004C1222" w:rsidRDefault="004C1222" w:rsidP="004C1222">
            <w:pPr>
              <w:spacing w:after="0" w:line="240" w:lineRule="auto"/>
            </w:pPr>
          </w:p>
          <w:p w14:paraId="42F9E8B7" w14:textId="77777777" w:rsidR="004C1222" w:rsidRDefault="004C1222" w:rsidP="004C1222">
            <w:pPr>
              <w:spacing w:after="0" w:line="240" w:lineRule="auto"/>
            </w:pPr>
            <w:r>
              <w:t xml:space="preserve">It is important to draw attention to these geographic and demographic realities because they make it difficult to do cohesive regional economic development planning, not to mention workforce planning and delivery, for the seven-county region.  The NCREDC has struggled with this issue since its inception in </w:t>
            </w:r>
            <w:r w:rsidRPr="003349D1">
              <w:t>201</w:t>
            </w:r>
            <w:r>
              <w:t xml:space="preserve">1 i.e., how to adopt meaningful strategies that apply to the diverse and extended region and not just to areas where the population clusters are located.  </w:t>
            </w:r>
          </w:p>
          <w:p w14:paraId="35A79F6C" w14:textId="43304993" w:rsidR="004C1222" w:rsidRDefault="004C1222" w:rsidP="004C1222">
            <w:pPr>
              <w:spacing w:after="0" w:line="240" w:lineRule="auto"/>
            </w:pPr>
          </w:p>
          <w:p w14:paraId="39D3FA14" w14:textId="77777777" w:rsidR="004C1222" w:rsidRDefault="004C1222" w:rsidP="004C1222">
            <w:pPr>
              <w:spacing w:after="0" w:line="240" w:lineRule="auto"/>
            </w:pPr>
            <w:r>
              <w:t>The region’s three Workforce Development Boards (WDBs) are aware of this challenge because all three WDB executive directors are engaged in in the NCREDC, one</w:t>
            </w:r>
            <w:r w:rsidRPr="00065C5D">
              <w:t xml:space="preserve"> of them since its implementation</w:t>
            </w:r>
            <w:r>
              <w:t xml:space="preserve">.  The three directors serve on the NCREDC Workforce Committee and </w:t>
            </w:r>
            <w:r w:rsidRPr="00065C5D">
              <w:t>Ms. Mayforth (Jefferson</w:t>
            </w:r>
            <w:r w:rsidRPr="00DB727F">
              <w:t>-Lewis) is its co-chair.</w:t>
            </w:r>
            <w:r w:rsidRPr="00065C5D">
              <w:t xml:space="preserve">  </w:t>
            </w:r>
            <w:r>
              <w:t xml:space="preserve">  Additionally, the three executive directors also serve on other NCREDC task forces and work groups.  In short, they are aware of the challenges the Council has had.</w:t>
            </w:r>
          </w:p>
          <w:p w14:paraId="2E8377B3" w14:textId="0D4E099B" w:rsidR="004C1222" w:rsidRDefault="004C1222" w:rsidP="004C1222">
            <w:pPr>
              <w:spacing w:after="0" w:line="240" w:lineRule="auto"/>
            </w:pPr>
          </w:p>
          <w:p w14:paraId="470D884F" w14:textId="77777777" w:rsidR="004C1222" w:rsidRDefault="004C1222" w:rsidP="004C1222">
            <w:pPr>
              <w:spacing w:after="0" w:line="240" w:lineRule="auto"/>
            </w:pPr>
            <w:r>
              <w:t xml:space="preserve">There are economic commonalities across the region – and the NCREDC has done its best to make the most of them.  </w:t>
            </w:r>
            <w:r w:rsidRPr="00065C5D">
              <w:t>D</w:t>
            </w:r>
            <w:r w:rsidRPr="00DB727F">
              <w:t xml:space="preserve">airy farming </w:t>
            </w:r>
            <w:r w:rsidRPr="0020058A">
              <w:t>has a major presence in al</w:t>
            </w:r>
            <w:r w:rsidRPr="00065C5D">
              <w:t>l but one of the seven counties; tourism is a major factor in all seven counties; and in all but Hamilton County, significant employment is still created by what is left from mines and rural resource-based manufacturing establishments (paper, lumber, dairy products</w:t>
            </w:r>
            <w:r>
              <w:t>, and transportation</w:t>
            </w:r>
            <w:r w:rsidRPr="00065C5D">
              <w:t>).</w:t>
            </w:r>
            <w:r>
              <w:t xml:space="preserve"> </w:t>
            </w:r>
          </w:p>
          <w:p w14:paraId="05D3484B" w14:textId="13709763" w:rsidR="004C1222" w:rsidRDefault="004C1222" w:rsidP="004C1222">
            <w:pPr>
              <w:spacing w:after="0" w:line="240" w:lineRule="auto"/>
            </w:pPr>
          </w:p>
          <w:p w14:paraId="20568D38" w14:textId="77777777" w:rsidR="004C1222" w:rsidRDefault="004C1222" w:rsidP="004C1222">
            <w:pPr>
              <w:spacing w:after="0" w:line="240" w:lineRule="auto"/>
            </w:pPr>
            <w:r>
              <w:t xml:space="preserve">Notwithstanding this, the differences among the region’s counties – and even within the counties - are dramatic and make it difficult for the seven counties to engage in workforce </w:t>
            </w:r>
            <w:r>
              <w:lastRenderedPageBreak/>
              <w:t xml:space="preserve">development planning and implementation activities, even though the executive directors of the region’s three WDBs have been meeting regularly and working together on WIOA and other workforce-related issues. </w:t>
            </w:r>
          </w:p>
          <w:p w14:paraId="616C79F1" w14:textId="48EAEFC4" w:rsidR="004C1222" w:rsidRDefault="004C1222" w:rsidP="004C1222">
            <w:pPr>
              <w:spacing w:after="0" w:line="240" w:lineRule="auto"/>
            </w:pPr>
          </w:p>
          <w:p w14:paraId="05325FB0" w14:textId="050EF040" w:rsidR="00502D71" w:rsidRDefault="004C1222" w:rsidP="004C1222">
            <w:pPr>
              <w:spacing w:after="0" w:line="240" w:lineRule="auto"/>
            </w:pPr>
            <w:r>
              <w:t xml:space="preserve">Most recently, since each WDB’s Local Plan is part of the Regional Plan and since the </w:t>
            </w:r>
            <w:r w:rsidRPr="00065C5D">
              <w:t>labor market</w:t>
            </w:r>
            <w:r w:rsidRPr="00DB727F">
              <w:t xml:space="preserve"> </w:t>
            </w:r>
            <w:r w:rsidRPr="003349D1">
              <w:rPr>
                <w:highlight w:val="yellow"/>
              </w:rPr>
              <w:t>(see Appendix A)</w:t>
            </w:r>
            <w:r w:rsidRPr="00065C5D">
              <w:t xml:space="preserve"> data in the area’s respective Local Plans is regional rather than county specific,</w:t>
            </w:r>
            <w:r>
              <w:t xml:space="preserve"> the first section of their respective 2021-2024 Local Plans is identical.  The executive directors worked with their regional IDAs and economic databases to identify the regional data included. </w:t>
            </w:r>
            <w:r w:rsidR="00502D71">
              <w:fldChar w:fldCharType="begin">
                <w:ffData>
                  <w:name w:val=""/>
                  <w:enabled/>
                  <w:calcOnExit w:val="0"/>
                  <w:textInput/>
                </w:ffData>
              </w:fldChar>
            </w:r>
            <w:r w:rsidR="00502D71">
              <w:instrText xml:space="preserve"> FORMTEXT </w:instrText>
            </w:r>
            <w:r w:rsidR="001A1EA2">
              <w:fldChar w:fldCharType="separate"/>
            </w:r>
            <w:r w:rsidR="00502D71">
              <w:fldChar w:fldCharType="end"/>
            </w:r>
            <w:r w:rsidR="00502D71">
              <w:tab/>
            </w:r>
          </w:p>
        </w:tc>
      </w:tr>
    </w:tbl>
    <w:p w14:paraId="73D39A42" w14:textId="191B6974" w:rsidR="00502D71" w:rsidRPr="00502D71" w:rsidRDefault="00502D71" w:rsidP="00502D71">
      <w:pPr>
        <w:pStyle w:val="ListParagraph"/>
        <w:numPr>
          <w:ilvl w:val="0"/>
          <w:numId w:val="32"/>
        </w:numPr>
        <w:spacing w:before="240" w:after="0"/>
        <w:ind w:left="360"/>
        <w:rPr>
          <w:rStyle w:val="Hyperlink"/>
          <w:color w:val="auto"/>
          <w:u w:val="none"/>
        </w:rPr>
      </w:pPr>
      <w:r w:rsidRPr="00502D71">
        <w:rPr>
          <w:rStyle w:val="Hyperlink"/>
          <w:color w:val="auto"/>
          <w:u w:val="none"/>
        </w:rPr>
        <w:lastRenderedPageBreak/>
        <w:t>Provide a list of executed cooperative agreements where applicable and define how local service providers, including additional providers, will carry out the regional strategies.</w:t>
      </w:r>
    </w:p>
    <w:tbl>
      <w:tblPr>
        <w:tblW w:w="0" w:type="auto"/>
        <w:tblInd w:w="520" w:type="dxa"/>
        <w:tblLayout w:type="fixed"/>
        <w:tblLook w:val="0000" w:firstRow="0" w:lastRow="0" w:firstColumn="0" w:lastColumn="0" w:noHBand="0" w:noVBand="0"/>
      </w:tblPr>
      <w:tblGrid>
        <w:gridCol w:w="8312"/>
      </w:tblGrid>
      <w:tr w:rsidR="00502D71" w14:paraId="67DBD6D6" w14:textId="77777777" w:rsidTr="00805721">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E05C433" w14:textId="77777777" w:rsidR="004C1222" w:rsidRDefault="004C1222" w:rsidP="004C1222">
            <w:pPr>
              <w:pStyle w:val="ListParagraph"/>
              <w:spacing w:after="0" w:line="240" w:lineRule="auto"/>
              <w:ind w:left="0"/>
            </w:pPr>
            <w:r>
              <w:t>The three WDB’s have examined the circumstances of the North Country region and have concluded that using cooperative service delivery agreements is not practical because of the region’s expanse (23% of NYS’ land mass) and the lack of a central community on which the economy and labor market focuses.   The three areas cannot envision cooperative service delivery scenarios in which the inefficiencies generated by the region’s geography and demography don’t exceed the efficiencies attained.</w:t>
            </w:r>
          </w:p>
          <w:p w14:paraId="1C97936B" w14:textId="77777777" w:rsidR="004C1222" w:rsidRDefault="004C1222" w:rsidP="003C0280">
            <w:pPr>
              <w:pStyle w:val="ListParagraph"/>
            </w:pPr>
          </w:p>
          <w:p w14:paraId="17D1D4C2" w14:textId="31D2F343" w:rsidR="00502D71" w:rsidRDefault="004C1222" w:rsidP="004C1222">
            <w:pPr>
              <w:pStyle w:val="ListParagraph"/>
              <w:spacing w:after="0" w:line="240" w:lineRule="auto"/>
              <w:ind w:left="0"/>
            </w:pPr>
            <w:r>
              <w:t xml:space="preserve">NYSDOL recognizes these challenges.  It serves the seven-county North Country region from eight offices and only among the three offices located in St. Lawrence County is there significant shared service delivery in place.  </w:t>
            </w:r>
            <w:r w:rsidR="00502D71">
              <w:tab/>
            </w:r>
          </w:p>
        </w:tc>
      </w:tr>
    </w:tbl>
    <w:p w14:paraId="2259B01F" w14:textId="129C2D29" w:rsidR="004D0588" w:rsidRPr="000B457B" w:rsidRDefault="00502D71" w:rsidP="000B457B">
      <w:pPr>
        <w:pStyle w:val="Heading1"/>
        <w:rPr>
          <w:b/>
          <w:bCs/>
        </w:rPr>
      </w:pPr>
      <w:bookmarkStart w:id="3" w:name="_Toc63162419"/>
      <w:r>
        <w:rPr>
          <w:b/>
          <w:bCs/>
        </w:rPr>
        <w:t>Sector Initiatives for In-demand Industry Sectors or Occupations</w:t>
      </w:r>
      <w:bookmarkEnd w:id="3"/>
    </w:p>
    <w:p w14:paraId="070E9C3A" w14:textId="40C0C9D9" w:rsidR="004D0588" w:rsidRDefault="004D0588" w:rsidP="00502D71">
      <w:pPr>
        <w:pStyle w:val="ListParagraph"/>
        <w:numPr>
          <w:ilvl w:val="0"/>
          <w:numId w:val="6"/>
        </w:numPr>
        <w:spacing w:before="240" w:after="0"/>
        <w:ind w:left="360"/>
        <w:contextualSpacing w:val="0"/>
      </w:pPr>
      <w:r>
        <w:t xml:space="preserve">Identify </w:t>
      </w:r>
      <w:r w:rsidR="00502D71">
        <w:t>in-demand industry sectors and occupations</w:t>
      </w:r>
      <w:r w:rsidR="00AB3DF9">
        <w:t>.</w:t>
      </w:r>
    </w:p>
    <w:tbl>
      <w:tblPr>
        <w:tblW w:w="0" w:type="auto"/>
        <w:tblInd w:w="520" w:type="dxa"/>
        <w:tblLayout w:type="fixed"/>
        <w:tblLook w:val="0000" w:firstRow="0" w:lastRow="0" w:firstColumn="0" w:lastColumn="0" w:noHBand="0" w:noVBand="0"/>
      </w:tblPr>
      <w:tblGrid>
        <w:gridCol w:w="8312"/>
      </w:tblGrid>
      <w:tr w:rsidR="004D0588" w14:paraId="568BDAB8"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6528E12" w14:textId="77777777" w:rsidR="004C1222" w:rsidRDefault="004C1222" w:rsidP="004C1222">
            <w:pPr>
              <w:spacing w:after="0" w:line="240" w:lineRule="auto"/>
            </w:pPr>
            <w:r>
              <w:t>As part of the preparation of the three WDB’s respective Local Plans, the region’s three WDB’s developed a common demand occupations list.  The list focuses on occupations, not sectors, because of the region’s heterogeneous employer base.  For example:</w:t>
            </w:r>
          </w:p>
          <w:p w14:paraId="436EEA6D" w14:textId="77777777" w:rsidR="004C1222" w:rsidRDefault="004C1222" w:rsidP="00446989">
            <w:pPr>
              <w:pStyle w:val="ListParagraph"/>
            </w:pPr>
          </w:p>
          <w:p w14:paraId="462E0458" w14:textId="77777777" w:rsidR="004C1222" w:rsidRDefault="004C1222" w:rsidP="004C1222">
            <w:pPr>
              <w:pStyle w:val="ListParagraph"/>
              <w:numPr>
                <w:ilvl w:val="0"/>
                <w:numId w:val="35"/>
              </w:numPr>
              <w:spacing w:after="0" w:line="240" w:lineRule="auto"/>
              <w:ind w:left="360"/>
            </w:pPr>
            <w:r w:rsidRPr="00065C5D">
              <w:t>There are paper mills in four counties, but not in the other three</w:t>
            </w:r>
            <w:r>
              <w:t xml:space="preserve">.  </w:t>
            </w:r>
          </w:p>
          <w:p w14:paraId="6E698FF0" w14:textId="77777777" w:rsidR="004C1222" w:rsidRDefault="004C1222" w:rsidP="004C1222">
            <w:pPr>
              <w:pStyle w:val="ListParagraph"/>
              <w:spacing w:after="0" w:line="240" w:lineRule="auto"/>
              <w:ind w:left="360"/>
            </w:pPr>
          </w:p>
          <w:p w14:paraId="62C3E093" w14:textId="77777777" w:rsidR="004C1222" w:rsidRDefault="004C1222" w:rsidP="004C1222">
            <w:pPr>
              <w:pStyle w:val="ListParagraph"/>
              <w:numPr>
                <w:ilvl w:val="0"/>
                <w:numId w:val="35"/>
              </w:numPr>
              <w:spacing w:after="0" w:line="240" w:lineRule="auto"/>
              <w:ind w:left="360"/>
            </w:pPr>
            <w:r>
              <w:t>Businesses focusing on supporting Ft. Drum in Jefferson County may also affect portions of neighboring Lewis and St. Lawrence counties but demand for such occupations in the rest of the region</w:t>
            </w:r>
            <w:r w:rsidRPr="00DA532C">
              <w:t xml:space="preserve"> </w:t>
            </w:r>
            <w:r>
              <w:t>is non-existent.</w:t>
            </w:r>
          </w:p>
          <w:p w14:paraId="0F8B40F2" w14:textId="77777777" w:rsidR="004C1222" w:rsidRDefault="004C1222" w:rsidP="004C1222">
            <w:pPr>
              <w:spacing w:after="0" w:line="240" w:lineRule="auto"/>
            </w:pPr>
            <w:r>
              <w:t xml:space="preserve">  </w:t>
            </w:r>
          </w:p>
          <w:p w14:paraId="6C4739B6" w14:textId="77777777" w:rsidR="004C1222" w:rsidRPr="00805D6F" w:rsidRDefault="004C1222" w:rsidP="004C1222">
            <w:pPr>
              <w:pStyle w:val="ListParagraph"/>
              <w:numPr>
                <w:ilvl w:val="0"/>
                <w:numId w:val="35"/>
              </w:numPr>
              <w:spacing w:after="0" w:line="240" w:lineRule="auto"/>
              <w:ind w:left="360"/>
              <w:rPr>
                <w:rFonts w:cstheme="minorHAnsi"/>
              </w:rPr>
            </w:pPr>
            <w:r>
              <w:t>The four colleges located within 10 miles of each other in central St. Lawrence County create occupational demands whose only close parallel is a two-hour drive in Plattsburgh and Saranac Lake areas (each hosting two colleges).  Jefferson Community College is a Liberal Arts College.  Delivers the #1 Nursing program in the state.</w:t>
            </w:r>
          </w:p>
          <w:p w14:paraId="680241AA" w14:textId="77777777" w:rsidR="004C1222" w:rsidRDefault="004C1222" w:rsidP="00446989">
            <w:pPr>
              <w:pStyle w:val="ListParagraph"/>
            </w:pPr>
          </w:p>
          <w:p w14:paraId="568C1198" w14:textId="195DF99E" w:rsidR="004D0588" w:rsidRPr="00B86A5C" w:rsidRDefault="004C1222" w:rsidP="00B86A5C">
            <w:pPr>
              <w:pStyle w:val="NormalWeb"/>
              <w:spacing w:before="0" w:beforeAutospacing="0" w:after="0" w:afterAutospacing="0"/>
              <w:rPr>
                <w:rFonts w:asciiTheme="minorHAnsi" w:hAnsiTheme="minorHAnsi" w:cstheme="minorHAnsi"/>
                <w:sz w:val="22"/>
                <w:szCs w:val="22"/>
              </w:rPr>
            </w:pPr>
            <w:r w:rsidRPr="003349D1">
              <w:rPr>
                <w:rFonts w:asciiTheme="minorHAnsi" w:hAnsiTheme="minorHAnsi" w:cstheme="minorHAnsi"/>
                <w:sz w:val="22"/>
                <w:szCs w:val="22"/>
              </w:rPr>
              <w:t>The list for in demand occupations</w:t>
            </w:r>
            <w:r>
              <w:rPr>
                <w:rFonts w:asciiTheme="minorHAnsi" w:hAnsiTheme="minorHAnsi" w:cstheme="minorHAnsi"/>
                <w:sz w:val="22"/>
                <w:szCs w:val="22"/>
              </w:rPr>
              <w:t xml:space="preserve"> </w:t>
            </w:r>
            <w:r w:rsidRPr="003349D1">
              <w:rPr>
                <w:rFonts w:asciiTheme="minorHAnsi" w:hAnsiTheme="minorHAnsi" w:cstheme="minorHAnsi"/>
                <w:sz w:val="22"/>
                <w:szCs w:val="22"/>
              </w:rPr>
              <w:t xml:space="preserve">can be accessed at:  </w:t>
            </w:r>
            <w:hyperlink r:id="rId9" w:history="1">
              <w:r w:rsidRPr="00805D6F">
                <w:rPr>
                  <w:rStyle w:val="Hyperlink"/>
                  <w:rFonts w:asciiTheme="minorHAnsi" w:hAnsiTheme="minorHAnsi" w:cstheme="minorHAnsi"/>
                  <w:sz w:val="22"/>
                  <w:szCs w:val="22"/>
                </w:rPr>
                <w:t>http://www.labor.ny.gov/workforcenypartners/lwia/lwia-occs.shtm</w:t>
              </w:r>
            </w:hyperlink>
            <w:r w:rsidRPr="003349D1">
              <w:rPr>
                <w:rFonts w:asciiTheme="minorHAnsi" w:hAnsiTheme="minorHAnsi" w:cstheme="minorHAnsi"/>
                <w:sz w:val="22"/>
                <w:szCs w:val="22"/>
              </w:rPr>
              <w:t xml:space="preserve">.  It is a testament to the sub-regional differences that characterize the region’s employers’ skills demand but also demonstrates (as noted earlier) the overlapping in occupational demands among the three WDB’s.  Examples of the latter include health care professions and tourism.  </w:t>
            </w:r>
            <w:r w:rsidR="004D0588">
              <w:tab/>
            </w:r>
          </w:p>
        </w:tc>
      </w:tr>
    </w:tbl>
    <w:p w14:paraId="13D7DDA5" w14:textId="383AFE96" w:rsidR="004D0588" w:rsidRDefault="00502D71" w:rsidP="009361DF">
      <w:pPr>
        <w:pStyle w:val="ListParagraph"/>
        <w:numPr>
          <w:ilvl w:val="0"/>
          <w:numId w:val="6"/>
        </w:numPr>
        <w:spacing w:before="240" w:after="0"/>
        <w:ind w:left="360"/>
        <w:contextualSpacing w:val="0"/>
      </w:pPr>
      <w:r>
        <w:lastRenderedPageBreak/>
        <w:t xml:space="preserve">Identify and describe </w:t>
      </w:r>
      <w:r>
        <w:rPr>
          <w:bCs/>
          <w:szCs w:val="24"/>
        </w:rPr>
        <w:t>sector initiatives that address the needs of the identified in-demand industry sectors or occupations.</w:t>
      </w:r>
    </w:p>
    <w:tbl>
      <w:tblPr>
        <w:tblW w:w="0" w:type="auto"/>
        <w:tblInd w:w="520" w:type="dxa"/>
        <w:tblLayout w:type="fixed"/>
        <w:tblLook w:val="0000" w:firstRow="0" w:lastRow="0" w:firstColumn="0" w:lastColumn="0" w:noHBand="0" w:noVBand="0"/>
      </w:tblPr>
      <w:tblGrid>
        <w:gridCol w:w="8312"/>
      </w:tblGrid>
      <w:tr w:rsidR="004D0588" w14:paraId="5BBCB637"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20B2FF8" w14:textId="0909270C" w:rsidR="00381B69" w:rsidRDefault="00381B69" w:rsidP="00ED7916">
            <w:pPr>
              <w:tabs>
                <w:tab w:val="center" w:pos="4048"/>
              </w:tabs>
              <w:spacing w:before="240" w:after="0" w:line="240" w:lineRule="auto"/>
            </w:pPr>
            <w:r>
              <w:t>The North Country Region has been declared a Childcare desert and the lack of childcare has taken a toll on hiring and contributing to the labor shortages.  All three WDB’s and the NCREDC workgroup have been working on strategies.  Jefferson-Lewis in partnership with the IDAs, WDB, Small Business Development the Child Care Projects have developed a c</w:t>
            </w:r>
            <w:r w:rsidR="00921ACB">
              <w:t>h</w:t>
            </w:r>
            <w:r>
              <w:t>ildcare bootcamp to training possible new providers.  St. Lawrence County has a Pipeline group to address the issue and the North Country WDB has the Stand up For Childcare Advocacy Group.</w:t>
            </w:r>
          </w:p>
          <w:p w14:paraId="21FFBD8C" w14:textId="77777777" w:rsidR="00381B69" w:rsidRDefault="00381B69" w:rsidP="00ED7916">
            <w:pPr>
              <w:tabs>
                <w:tab w:val="center" w:pos="4048"/>
              </w:tabs>
              <w:spacing w:before="240" w:after="0" w:line="240" w:lineRule="auto"/>
            </w:pPr>
            <w:r>
              <w:t>Healthcare continues to be an in-demand sector.  The Region has partnered with HMO for the H1B1 rural healthcare training grant.</w:t>
            </w:r>
          </w:p>
          <w:p w14:paraId="6C96DD03" w14:textId="77777777" w:rsidR="00381B69" w:rsidRDefault="00381B69" w:rsidP="00ED7916">
            <w:pPr>
              <w:tabs>
                <w:tab w:val="center" w:pos="4048"/>
              </w:tabs>
              <w:spacing w:before="240" w:after="0" w:line="240" w:lineRule="auto"/>
            </w:pPr>
            <w:r>
              <w:t>Tourism &amp; Hospitality:  This has been one of the hardest hit area during the pandemic with the loss of workers.  The area’s BOCES, colleges and partnerships with the Chambers to promote hiring along with Job Fairs to assist this sector.</w:t>
            </w:r>
          </w:p>
          <w:p w14:paraId="14587EFF" w14:textId="77777777" w:rsidR="00C249DD" w:rsidRDefault="00381B69" w:rsidP="00ED7916">
            <w:pPr>
              <w:tabs>
                <w:tab w:val="center" w:pos="4048"/>
              </w:tabs>
              <w:spacing w:before="240" w:after="0" w:line="240" w:lineRule="auto"/>
            </w:pPr>
            <w:r>
              <w:t xml:space="preserve">Transportation:  the need for CDL drivers is </w:t>
            </w:r>
            <w:r w:rsidR="00C249DD">
              <w:t>in-demand.  Through On-The-Job training, programs at SUNY Canton to provide training opportunities.</w:t>
            </w:r>
          </w:p>
          <w:p w14:paraId="5B5EB7C4" w14:textId="749C0BF3" w:rsidR="004D0588" w:rsidRDefault="00C249DD" w:rsidP="00C249DD">
            <w:pPr>
              <w:tabs>
                <w:tab w:val="center" w:pos="4048"/>
              </w:tabs>
              <w:spacing w:before="240" w:after="0" w:line="240" w:lineRule="auto"/>
            </w:pPr>
            <w:r>
              <w:t xml:space="preserve">Manufacturing:  The North Country has AIM, RAMP, Namstrams and Authencity </w:t>
            </w:r>
            <w:r w:rsidR="004D0588">
              <w:fldChar w:fldCharType="begin">
                <w:ffData>
                  <w:name w:val=""/>
                  <w:enabled/>
                  <w:calcOnExit w:val="0"/>
                  <w:textInput/>
                </w:ffData>
              </w:fldChar>
            </w:r>
            <w:r w:rsidR="004D0588">
              <w:instrText xml:space="preserve"> FORMTEXT </w:instrText>
            </w:r>
            <w:r w:rsidR="001A1EA2">
              <w:fldChar w:fldCharType="separate"/>
            </w:r>
            <w:r w:rsidR="004D0588">
              <w:fldChar w:fldCharType="end"/>
            </w:r>
            <w:r w:rsidR="004D0588">
              <w:tab/>
            </w:r>
            <w:r>
              <w:t>STEM, Jefferson-Lewis has BOCES, OJT  and St. Lawrence County has BOCES programs</w:t>
            </w:r>
          </w:p>
        </w:tc>
      </w:tr>
    </w:tbl>
    <w:p w14:paraId="72829CD0" w14:textId="0B8F9A1B" w:rsidR="007F127F" w:rsidRPr="000B457B" w:rsidRDefault="00502D71" w:rsidP="000B457B">
      <w:pPr>
        <w:pStyle w:val="Heading1"/>
        <w:rPr>
          <w:b/>
          <w:bCs/>
        </w:rPr>
      </w:pPr>
      <w:bookmarkStart w:id="4" w:name="_Toc63162420"/>
      <w:r>
        <w:rPr>
          <w:b/>
          <w:bCs/>
        </w:rPr>
        <w:t>Regional Labor Market Analysis</w:t>
      </w:r>
      <w:bookmarkEnd w:id="4"/>
    </w:p>
    <w:p w14:paraId="17C6D54C" w14:textId="4B58B3FD" w:rsidR="007F127F" w:rsidRDefault="00E2228C" w:rsidP="009361DF">
      <w:pPr>
        <w:pStyle w:val="ListParagraph"/>
        <w:numPr>
          <w:ilvl w:val="0"/>
          <w:numId w:val="8"/>
        </w:numPr>
        <w:spacing w:before="240" w:after="0"/>
        <w:ind w:left="360"/>
        <w:contextualSpacing w:val="0"/>
      </w:pPr>
      <w:r>
        <w:t>Include an analysis of regional economic conditions incorporating the existing emerging demand sectors and occupations, the employment needs of businesses in those sectors and occupations</w:t>
      </w:r>
      <w:r w:rsidR="00E66F49">
        <w:t>,</w:t>
      </w:r>
      <w:r>
        <w:t xml:space="preserve"> </w:t>
      </w:r>
      <w:r w:rsidR="00E66F49">
        <w:t>as well as</w:t>
      </w:r>
      <w:r>
        <w:t xml:space="preserve"> </w:t>
      </w:r>
      <w:r w:rsidR="00E66F49">
        <w:t xml:space="preserve">noting if the information used in the analysis was provided by </w:t>
      </w:r>
      <w:r w:rsidR="00AB3DF9">
        <w:t>the New York State Department of Labor’s (</w:t>
      </w:r>
      <w:r w:rsidR="00E66F49">
        <w:t>NYSDOL</w:t>
      </w:r>
      <w:r w:rsidR="00AB3DF9">
        <w:t>)</w:t>
      </w:r>
      <w:r w:rsidR="00E66F49">
        <w:t xml:space="preserve"> </w:t>
      </w:r>
      <w:r w:rsidR="00AB3DF9">
        <w:t>Research and Statistics (</w:t>
      </w:r>
      <w:r w:rsidR="00E66F49">
        <w:t>R&amp;</w:t>
      </w:r>
      <w:r w:rsidR="00AB3DF9">
        <w:t>S)</w:t>
      </w:r>
      <w:r w:rsidR="00E66F49">
        <w:t xml:space="preserve"> </w:t>
      </w:r>
      <w:r w:rsidR="00AB3DF9">
        <w:t>D</w:t>
      </w:r>
      <w:r w:rsidR="00E66F49">
        <w:t xml:space="preserve">ivision (if not, provide what source was used </w:t>
      </w:r>
      <w:r w:rsidR="00AB3DF9">
        <w:t xml:space="preserve">for </w:t>
      </w:r>
      <w:r w:rsidR="00E66F49">
        <w:t>complete analysis)</w:t>
      </w:r>
      <w:r w:rsidR="007F127F">
        <w:t>.</w:t>
      </w:r>
    </w:p>
    <w:tbl>
      <w:tblPr>
        <w:tblW w:w="0" w:type="auto"/>
        <w:tblInd w:w="520" w:type="dxa"/>
        <w:tblLayout w:type="fixed"/>
        <w:tblLook w:val="0000" w:firstRow="0" w:lastRow="0" w:firstColumn="0" w:lastColumn="0" w:noHBand="0" w:noVBand="0"/>
      </w:tblPr>
      <w:tblGrid>
        <w:gridCol w:w="8312"/>
      </w:tblGrid>
      <w:tr w:rsidR="007F127F" w14:paraId="666DC31D"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8C13BA1" w14:textId="77777777" w:rsidR="004C1222" w:rsidRDefault="004C1222" w:rsidP="004C1222">
            <w:pPr>
              <w:spacing w:after="0" w:line="240" w:lineRule="auto"/>
            </w:pPr>
            <w:r>
              <w:t>T</w:t>
            </w:r>
            <w:r w:rsidRPr="00524B85">
              <w:t xml:space="preserve">he three </w:t>
            </w:r>
            <w:r>
              <w:t>WDBs have relied on NYSDOL’s North Country regional labor market analyst, Mr. Anthony Hayden, who is based in Lake Placid.  He has given his time and expertise and has continued the long-term collaboration between the region’s WDBs which pre-dates the creation of the regional councils.</w:t>
            </w:r>
          </w:p>
          <w:p w14:paraId="312096CC" w14:textId="77777777" w:rsidR="004C1222" w:rsidRDefault="004C1222" w:rsidP="00A1569A">
            <w:pPr>
              <w:pStyle w:val="ListParagraph"/>
            </w:pPr>
          </w:p>
          <w:p w14:paraId="728C963B" w14:textId="77777777" w:rsidR="004C1222" w:rsidRDefault="004C1222" w:rsidP="004C1222">
            <w:pPr>
              <w:spacing w:after="0" w:line="240" w:lineRule="auto"/>
            </w:pPr>
            <w:r>
              <w:t xml:space="preserve">As noted earlier, the three WDB’s executive directors have collaborated in their use of Mr. Hayden’s data in preparing their respective Local Plans.  The four have forged a working collaboration to provide services to the region. </w:t>
            </w:r>
          </w:p>
          <w:p w14:paraId="17C0BB69" w14:textId="77777777" w:rsidR="004C1222" w:rsidRDefault="004C1222" w:rsidP="00A1569A">
            <w:pPr>
              <w:pStyle w:val="ListParagraph"/>
            </w:pPr>
          </w:p>
          <w:p w14:paraId="41F1704B" w14:textId="021656FA" w:rsidR="007F127F" w:rsidRDefault="004C1222" w:rsidP="004C1222">
            <w:pPr>
              <w:spacing w:after="0" w:line="240" w:lineRule="auto"/>
            </w:pPr>
            <w:r>
              <w:t>Additionally, the three WDBs have accessed economic development data through EMSI, which gives a timely picture of the economic situation in the region’s seven counties.</w:t>
            </w:r>
            <w:r w:rsidR="007F127F">
              <w:tab/>
            </w:r>
          </w:p>
        </w:tc>
      </w:tr>
    </w:tbl>
    <w:p w14:paraId="1BE30F85" w14:textId="34914250" w:rsidR="007F127F" w:rsidRDefault="007F127F" w:rsidP="009361DF">
      <w:pPr>
        <w:pStyle w:val="ListParagraph"/>
        <w:numPr>
          <w:ilvl w:val="0"/>
          <w:numId w:val="8"/>
        </w:numPr>
        <w:spacing w:before="240" w:after="0"/>
        <w:ind w:left="360"/>
        <w:contextualSpacing w:val="0"/>
      </w:pPr>
      <w:r>
        <w:t xml:space="preserve">Describe </w:t>
      </w:r>
      <w:r w:rsidR="00AB3DF9">
        <w:t xml:space="preserve">the </w:t>
      </w:r>
      <w:r w:rsidR="00E2228C">
        <w:t>knowledge, skills and abilities needed to meet the employment needs of businesses in those sectors and occupations</w:t>
      </w:r>
      <w:r>
        <w:t>.</w:t>
      </w:r>
    </w:p>
    <w:tbl>
      <w:tblPr>
        <w:tblW w:w="0" w:type="auto"/>
        <w:tblInd w:w="520" w:type="dxa"/>
        <w:tblLayout w:type="fixed"/>
        <w:tblLook w:val="0000" w:firstRow="0" w:lastRow="0" w:firstColumn="0" w:lastColumn="0" w:noHBand="0" w:noVBand="0"/>
      </w:tblPr>
      <w:tblGrid>
        <w:gridCol w:w="8312"/>
      </w:tblGrid>
      <w:tr w:rsidR="007F127F" w14:paraId="0A30B449"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0D72EF1" w14:textId="550DEF96" w:rsidR="007F127F" w:rsidRDefault="004C1222" w:rsidP="000955F4">
            <w:pPr>
              <w:tabs>
                <w:tab w:val="center" w:pos="4048"/>
              </w:tabs>
              <w:spacing w:before="240" w:after="0" w:line="240" w:lineRule="auto"/>
            </w:pPr>
            <w:r w:rsidRPr="004C1222">
              <w:rPr>
                <w:color w:val="FF0000"/>
              </w:rPr>
              <w:lastRenderedPageBreak/>
              <w:t xml:space="preserve"> </w:t>
            </w:r>
            <w:r w:rsidR="00AD2E68" w:rsidRPr="00AD2E68">
              <w:t>The North</w:t>
            </w:r>
            <w:r w:rsidR="00AD2E68">
              <w:t xml:space="preserve"> Country Region is home to 7 Colleges and Universities </w:t>
            </w:r>
            <w:r w:rsidR="000955F4">
              <w:t xml:space="preserve">along with excellent Career &amp; Technical training provided at BOCES.  In review of KSAs by the WDBs it has been determined that pipelines are in place to take community members from entry level to higher skill levels and provides for career ladders.  </w:t>
            </w:r>
            <w:r w:rsidR="008A6885">
              <w:t xml:space="preserve"> With excellent partnerships with economic development, businesses and training programs, adjustments are made to meet the needs of local businesses.</w:t>
            </w:r>
            <w:r w:rsidR="007F127F">
              <w:fldChar w:fldCharType="begin">
                <w:ffData>
                  <w:name w:val=""/>
                  <w:enabled/>
                  <w:calcOnExit w:val="0"/>
                  <w:textInput/>
                </w:ffData>
              </w:fldChar>
            </w:r>
            <w:r w:rsidR="007F127F">
              <w:instrText xml:space="preserve"> FORMTEXT </w:instrText>
            </w:r>
            <w:r w:rsidR="001A1EA2">
              <w:fldChar w:fldCharType="separate"/>
            </w:r>
            <w:r w:rsidR="007F127F">
              <w:fldChar w:fldCharType="end"/>
            </w:r>
            <w:r w:rsidR="007F127F">
              <w:tab/>
            </w:r>
          </w:p>
        </w:tc>
      </w:tr>
    </w:tbl>
    <w:p w14:paraId="09811B2E" w14:textId="13117FF9" w:rsidR="007F127F" w:rsidRDefault="00E2228C" w:rsidP="00E2228C">
      <w:pPr>
        <w:pStyle w:val="ListParagraph"/>
        <w:numPr>
          <w:ilvl w:val="0"/>
          <w:numId w:val="8"/>
        </w:numPr>
        <w:spacing w:before="240" w:after="0"/>
        <w:ind w:left="360"/>
      </w:pPr>
      <w:r>
        <w:t>Provide an analysis of the regional workforce.</w:t>
      </w:r>
    </w:p>
    <w:tbl>
      <w:tblPr>
        <w:tblW w:w="10005" w:type="dxa"/>
        <w:tblInd w:w="520" w:type="dxa"/>
        <w:tblLayout w:type="fixed"/>
        <w:tblLook w:val="0000" w:firstRow="0" w:lastRow="0" w:firstColumn="0" w:lastColumn="0" w:noHBand="0" w:noVBand="0"/>
      </w:tblPr>
      <w:tblGrid>
        <w:gridCol w:w="10005"/>
      </w:tblGrid>
      <w:tr w:rsidR="00587CA4" w14:paraId="47B5FB19" w14:textId="77777777" w:rsidTr="00C00455">
        <w:trPr>
          <w:trHeight w:val="364"/>
        </w:trPr>
        <w:tc>
          <w:tcPr>
            <w:tcW w:w="1000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2EF91E0" w14:textId="77777777" w:rsidR="006E02A4" w:rsidRDefault="006E02A4" w:rsidP="00C00455">
            <w:pPr>
              <w:tabs>
                <w:tab w:val="center" w:pos="4048"/>
              </w:tabs>
              <w:spacing w:before="240" w:after="0" w:line="240" w:lineRule="auto"/>
              <w:rPr>
                <w:b/>
              </w:rPr>
            </w:pPr>
            <w:r>
              <w:rPr>
                <w:b/>
              </w:rPr>
              <w:t>Appendix A</w:t>
            </w:r>
          </w:p>
          <w:p w14:paraId="533D81AA" w14:textId="35016E41" w:rsidR="00C00455" w:rsidRDefault="00C00455" w:rsidP="00C00455">
            <w:pPr>
              <w:tabs>
                <w:tab w:val="center" w:pos="4048"/>
              </w:tabs>
              <w:spacing w:before="240" w:after="0" w:line="240" w:lineRule="auto"/>
              <w:rPr>
                <w:b/>
              </w:rPr>
            </w:pPr>
            <w:r w:rsidRPr="00C00455">
              <w:rPr>
                <w:b/>
              </w:rPr>
              <w:t>Labor Market Profile</w:t>
            </w:r>
          </w:p>
          <w:p w14:paraId="00D6329C" w14:textId="2C47A2CE" w:rsidR="00C00455" w:rsidRPr="00C00455" w:rsidRDefault="00C00455" w:rsidP="00C00455">
            <w:pPr>
              <w:tabs>
                <w:tab w:val="center" w:pos="4048"/>
              </w:tabs>
              <w:spacing w:after="0" w:line="240" w:lineRule="auto"/>
              <w:rPr>
                <w:b/>
              </w:rPr>
            </w:pPr>
            <w:r w:rsidRPr="00C00455">
              <w:rPr>
                <w:b/>
              </w:rPr>
              <w:t>Resident Civilian Labor and Nonfarm Employment</w:t>
            </w:r>
          </w:p>
          <w:p w14:paraId="3460427F" w14:textId="77777777" w:rsidR="00C00455" w:rsidRPr="00C00455" w:rsidRDefault="00C00455" w:rsidP="00C00455">
            <w:pPr>
              <w:tabs>
                <w:tab w:val="center" w:pos="4048"/>
              </w:tabs>
              <w:spacing w:after="0" w:line="240" w:lineRule="auto"/>
              <w:rPr>
                <w:b/>
              </w:rPr>
            </w:pPr>
            <w:r w:rsidRPr="00C00455">
              <w:rPr>
                <w:b/>
              </w:rPr>
              <w:t>NORTH COUNTRY REGION</w:t>
            </w:r>
          </w:p>
          <w:p w14:paraId="6BE3C1F9" w14:textId="77777777" w:rsidR="00C00455" w:rsidRPr="00C00455" w:rsidRDefault="00C00455" w:rsidP="00C00455">
            <w:pPr>
              <w:tabs>
                <w:tab w:val="center" w:pos="4048"/>
              </w:tabs>
              <w:spacing w:after="0" w:line="240" w:lineRule="auto"/>
              <w:rPr>
                <w:b/>
              </w:rPr>
            </w:pPr>
            <w:r w:rsidRPr="00C00455">
              <w:rPr>
                <w:b/>
              </w:rPr>
              <w:t>September 2017</w:t>
            </w:r>
          </w:p>
          <w:p w14:paraId="1B956FDF" w14:textId="77777777" w:rsidR="00C00455" w:rsidRPr="00C00455" w:rsidRDefault="00C00455" w:rsidP="00C00455">
            <w:pPr>
              <w:tabs>
                <w:tab w:val="center" w:pos="4048"/>
              </w:tabs>
              <w:spacing w:before="240" w:after="0" w:line="240" w:lineRule="auto"/>
              <w:rPr>
                <w:bCs/>
              </w:rPr>
            </w:pPr>
          </w:p>
          <w:tbl>
            <w:tblPr>
              <w:tblStyle w:val="TableGrid"/>
              <w:tblW w:w="0" w:type="auto"/>
              <w:tblLayout w:type="fixed"/>
              <w:tblLook w:val="04A0" w:firstRow="1" w:lastRow="0" w:firstColumn="1" w:lastColumn="0" w:noHBand="0" w:noVBand="1"/>
            </w:tblPr>
            <w:tblGrid>
              <w:gridCol w:w="4855"/>
              <w:gridCol w:w="1260"/>
              <w:gridCol w:w="2160"/>
              <w:gridCol w:w="1075"/>
            </w:tblGrid>
            <w:tr w:rsidR="00C00455" w:rsidRPr="00C00455" w14:paraId="76D28F41" w14:textId="77777777" w:rsidTr="003D23BF">
              <w:tc>
                <w:tcPr>
                  <w:tcW w:w="4855" w:type="dxa"/>
                  <w:vAlign w:val="center"/>
                </w:tcPr>
                <w:p w14:paraId="4EF18A5D" w14:textId="77777777" w:rsidR="00C00455" w:rsidRPr="00C00455" w:rsidRDefault="00C00455" w:rsidP="00C00455">
                  <w:pPr>
                    <w:tabs>
                      <w:tab w:val="center" w:pos="4048"/>
                    </w:tabs>
                    <w:spacing w:before="240"/>
                    <w:jc w:val="center"/>
                  </w:pPr>
                  <w:r w:rsidRPr="00C00455">
                    <w:t>Category</w:t>
                  </w:r>
                </w:p>
              </w:tc>
              <w:tc>
                <w:tcPr>
                  <w:tcW w:w="1260" w:type="dxa"/>
                </w:tcPr>
                <w:p w14:paraId="2355EF26" w14:textId="77777777" w:rsidR="00C00455" w:rsidRPr="00C00455" w:rsidRDefault="00C00455" w:rsidP="00C00455">
                  <w:pPr>
                    <w:tabs>
                      <w:tab w:val="center" w:pos="4048"/>
                    </w:tabs>
                    <w:spacing w:before="240"/>
                    <w:jc w:val="center"/>
                  </w:pPr>
                  <w:r w:rsidRPr="00C00455">
                    <w:t>Sep 2017</w:t>
                  </w:r>
                </w:p>
              </w:tc>
              <w:tc>
                <w:tcPr>
                  <w:tcW w:w="2160" w:type="dxa"/>
                  <w:vAlign w:val="center"/>
                </w:tcPr>
                <w:p w14:paraId="32C444B8" w14:textId="77777777" w:rsidR="00C00455" w:rsidRPr="00C00455" w:rsidRDefault="00C00455" w:rsidP="00C00455">
                  <w:pPr>
                    <w:tabs>
                      <w:tab w:val="center" w:pos="4048"/>
                    </w:tabs>
                    <w:spacing w:before="240"/>
                    <w:jc w:val="center"/>
                  </w:pPr>
                  <w:r w:rsidRPr="00C00455">
                    <w:t>Net Year</w:t>
                  </w:r>
                </w:p>
              </w:tc>
              <w:tc>
                <w:tcPr>
                  <w:tcW w:w="1075" w:type="dxa"/>
                  <w:vAlign w:val="center"/>
                </w:tcPr>
                <w:p w14:paraId="2E8D1E5D" w14:textId="77777777" w:rsidR="00C00455" w:rsidRPr="00C00455" w:rsidRDefault="00C00455" w:rsidP="00C00455">
                  <w:pPr>
                    <w:tabs>
                      <w:tab w:val="center" w:pos="4048"/>
                    </w:tabs>
                    <w:spacing w:before="240"/>
                    <w:jc w:val="center"/>
                  </w:pPr>
                  <w:r w:rsidRPr="00C00455">
                    <w:t>% Year</w:t>
                  </w:r>
                </w:p>
              </w:tc>
            </w:tr>
            <w:tr w:rsidR="00C00455" w:rsidRPr="00C00455" w14:paraId="7029C506" w14:textId="77777777" w:rsidTr="003D23BF">
              <w:tc>
                <w:tcPr>
                  <w:tcW w:w="4855" w:type="dxa"/>
                </w:tcPr>
                <w:p w14:paraId="06CE96AB" w14:textId="77777777" w:rsidR="00C00455" w:rsidRPr="00C00455" w:rsidRDefault="00C00455" w:rsidP="00C00455">
                  <w:pPr>
                    <w:tabs>
                      <w:tab w:val="center" w:pos="4048"/>
                    </w:tabs>
                    <w:spacing w:before="240"/>
                  </w:pPr>
                  <w:r w:rsidRPr="00C00455">
                    <w:t>Resident Civilian Labor Force</w:t>
                  </w:r>
                </w:p>
              </w:tc>
              <w:tc>
                <w:tcPr>
                  <w:tcW w:w="1260" w:type="dxa"/>
                </w:tcPr>
                <w:p w14:paraId="3E76E0E2" w14:textId="77777777" w:rsidR="00C00455" w:rsidRPr="00C00455" w:rsidRDefault="00C00455" w:rsidP="00C00455">
                  <w:pPr>
                    <w:tabs>
                      <w:tab w:val="center" w:pos="4048"/>
                    </w:tabs>
                    <w:spacing w:before="240"/>
                  </w:pPr>
                  <w:r w:rsidRPr="00C00455">
                    <w:t>177,100</w:t>
                  </w:r>
                </w:p>
              </w:tc>
              <w:tc>
                <w:tcPr>
                  <w:tcW w:w="2160" w:type="dxa"/>
                </w:tcPr>
                <w:p w14:paraId="719E11DE" w14:textId="77777777" w:rsidR="00C00455" w:rsidRPr="00C00455" w:rsidRDefault="00C00455" w:rsidP="00C00455">
                  <w:pPr>
                    <w:tabs>
                      <w:tab w:val="center" w:pos="4048"/>
                    </w:tabs>
                    <w:spacing w:before="240"/>
                  </w:pPr>
                  <w:r w:rsidRPr="00C00455">
                    <w:t>1,100</w:t>
                  </w:r>
                </w:p>
              </w:tc>
              <w:tc>
                <w:tcPr>
                  <w:tcW w:w="1075" w:type="dxa"/>
                </w:tcPr>
                <w:p w14:paraId="582074B2" w14:textId="77777777" w:rsidR="00C00455" w:rsidRPr="00C00455" w:rsidRDefault="00C00455" w:rsidP="00C00455">
                  <w:pPr>
                    <w:tabs>
                      <w:tab w:val="center" w:pos="4048"/>
                    </w:tabs>
                    <w:spacing w:before="240"/>
                  </w:pPr>
                  <w:r w:rsidRPr="00C00455">
                    <w:t>0.6%</w:t>
                  </w:r>
                </w:p>
              </w:tc>
            </w:tr>
            <w:tr w:rsidR="00C00455" w:rsidRPr="00C00455" w14:paraId="0F3C0F50" w14:textId="77777777" w:rsidTr="003D23BF">
              <w:tc>
                <w:tcPr>
                  <w:tcW w:w="4855" w:type="dxa"/>
                </w:tcPr>
                <w:p w14:paraId="0D787AC2" w14:textId="77777777" w:rsidR="00C00455" w:rsidRPr="00C00455" w:rsidRDefault="00C00455" w:rsidP="00C00455">
                  <w:pPr>
                    <w:tabs>
                      <w:tab w:val="center" w:pos="4048"/>
                    </w:tabs>
                    <w:spacing w:before="240"/>
                  </w:pPr>
                  <w:r w:rsidRPr="00C00455">
                    <w:t xml:space="preserve">   Employed</w:t>
                  </w:r>
                </w:p>
              </w:tc>
              <w:tc>
                <w:tcPr>
                  <w:tcW w:w="1260" w:type="dxa"/>
                </w:tcPr>
                <w:p w14:paraId="620A1674" w14:textId="77777777" w:rsidR="00C00455" w:rsidRPr="00C00455" w:rsidRDefault="00C00455" w:rsidP="00C00455">
                  <w:pPr>
                    <w:tabs>
                      <w:tab w:val="center" w:pos="4048"/>
                    </w:tabs>
                    <w:spacing w:before="240"/>
                  </w:pPr>
                  <w:r w:rsidRPr="00C00455">
                    <w:t>167,900</w:t>
                  </w:r>
                </w:p>
              </w:tc>
              <w:tc>
                <w:tcPr>
                  <w:tcW w:w="2160" w:type="dxa"/>
                </w:tcPr>
                <w:p w14:paraId="380C3FE6" w14:textId="77777777" w:rsidR="00C00455" w:rsidRPr="00C00455" w:rsidRDefault="00C00455" w:rsidP="00C00455">
                  <w:pPr>
                    <w:tabs>
                      <w:tab w:val="center" w:pos="4048"/>
                    </w:tabs>
                    <w:spacing w:before="240"/>
                  </w:pPr>
                  <w:r w:rsidRPr="00C00455">
                    <w:t>1,500</w:t>
                  </w:r>
                </w:p>
              </w:tc>
              <w:tc>
                <w:tcPr>
                  <w:tcW w:w="1075" w:type="dxa"/>
                </w:tcPr>
                <w:p w14:paraId="48FC39A3" w14:textId="77777777" w:rsidR="00C00455" w:rsidRPr="00C00455" w:rsidRDefault="00C00455" w:rsidP="00C00455">
                  <w:pPr>
                    <w:tabs>
                      <w:tab w:val="center" w:pos="4048"/>
                    </w:tabs>
                    <w:spacing w:before="240"/>
                  </w:pPr>
                  <w:r w:rsidRPr="00C00455">
                    <w:t>0.9%</w:t>
                  </w:r>
                </w:p>
              </w:tc>
            </w:tr>
            <w:tr w:rsidR="00C00455" w:rsidRPr="00C00455" w14:paraId="132BC0ED" w14:textId="77777777" w:rsidTr="003D23BF">
              <w:tc>
                <w:tcPr>
                  <w:tcW w:w="4855" w:type="dxa"/>
                </w:tcPr>
                <w:p w14:paraId="0E243586" w14:textId="77777777" w:rsidR="00C00455" w:rsidRPr="00C00455" w:rsidRDefault="00C00455" w:rsidP="00C00455">
                  <w:pPr>
                    <w:tabs>
                      <w:tab w:val="center" w:pos="4048"/>
                    </w:tabs>
                    <w:spacing w:before="240"/>
                  </w:pPr>
                  <w:r w:rsidRPr="00C00455">
                    <w:t xml:space="preserve">   Unemployed</w:t>
                  </w:r>
                </w:p>
              </w:tc>
              <w:tc>
                <w:tcPr>
                  <w:tcW w:w="1260" w:type="dxa"/>
                </w:tcPr>
                <w:p w14:paraId="1E2617C5" w14:textId="77777777" w:rsidR="00C00455" w:rsidRPr="00C00455" w:rsidRDefault="00C00455" w:rsidP="00C00455">
                  <w:pPr>
                    <w:tabs>
                      <w:tab w:val="center" w:pos="4048"/>
                    </w:tabs>
                    <w:spacing w:before="240"/>
                  </w:pPr>
                  <w:r w:rsidRPr="00C00455">
                    <w:t>9,200</w:t>
                  </w:r>
                </w:p>
              </w:tc>
              <w:tc>
                <w:tcPr>
                  <w:tcW w:w="2160" w:type="dxa"/>
                </w:tcPr>
                <w:p w14:paraId="366A9BFC" w14:textId="77777777" w:rsidR="00C00455" w:rsidRPr="00C00455" w:rsidRDefault="00C00455" w:rsidP="00C00455">
                  <w:pPr>
                    <w:tabs>
                      <w:tab w:val="center" w:pos="4048"/>
                    </w:tabs>
                    <w:spacing w:before="240"/>
                  </w:pPr>
                  <w:r w:rsidRPr="00C00455">
                    <w:t>-300</w:t>
                  </w:r>
                </w:p>
              </w:tc>
              <w:tc>
                <w:tcPr>
                  <w:tcW w:w="1075" w:type="dxa"/>
                </w:tcPr>
                <w:p w14:paraId="32EEEDF6" w14:textId="77777777" w:rsidR="00C00455" w:rsidRPr="00C00455" w:rsidRDefault="00C00455" w:rsidP="00C00455">
                  <w:pPr>
                    <w:tabs>
                      <w:tab w:val="center" w:pos="4048"/>
                    </w:tabs>
                    <w:spacing w:before="240"/>
                  </w:pPr>
                  <w:r w:rsidRPr="00C00455">
                    <w:t>-3.2%</w:t>
                  </w:r>
                </w:p>
              </w:tc>
            </w:tr>
            <w:tr w:rsidR="00C00455" w:rsidRPr="00C00455" w14:paraId="115B5129" w14:textId="77777777" w:rsidTr="003D23BF">
              <w:tc>
                <w:tcPr>
                  <w:tcW w:w="4855" w:type="dxa"/>
                </w:tcPr>
                <w:p w14:paraId="1094ED50" w14:textId="77777777" w:rsidR="00C00455" w:rsidRPr="00C00455" w:rsidRDefault="00C00455" w:rsidP="00C00455">
                  <w:pPr>
                    <w:tabs>
                      <w:tab w:val="center" w:pos="4048"/>
                    </w:tabs>
                    <w:spacing w:before="240"/>
                  </w:pPr>
                  <w:r w:rsidRPr="00C00455">
                    <w:t xml:space="preserve">      North Country Region Unemployment Rate</w:t>
                  </w:r>
                </w:p>
              </w:tc>
              <w:tc>
                <w:tcPr>
                  <w:tcW w:w="1260" w:type="dxa"/>
                </w:tcPr>
                <w:p w14:paraId="3C60C5CB" w14:textId="77777777" w:rsidR="00C00455" w:rsidRPr="00C00455" w:rsidRDefault="00C00455" w:rsidP="00C00455">
                  <w:pPr>
                    <w:tabs>
                      <w:tab w:val="center" w:pos="4048"/>
                    </w:tabs>
                    <w:spacing w:before="240"/>
                  </w:pPr>
                  <w:r w:rsidRPr="00C00455">
                    <w:t>5.2%</w:t>
                  </w:r>
                </w:p>
              </w:tc>
              <w:tc>
                <w:tcPr>
                  <w:tcW w:w="2160" w:type="dxa"/>
                </w:tcPr>
                <w:p w14:paraId="6790CB45" w14:textId="77777777" w:rsidR="00C00455" w:rsidRPr="00C00455" w:rsidRDefault="00C00455" w:rsidP="00C00455">
                  <w:pPr>
                    <w:tabs>
                      <w:tab w:val="center" w:pos="4048"/>
                    </w:tabs>
                    <w:spacing w:before="240"/>
                  </w:pPr>
                  <w:r w:rsidRPr="00C00455">
                    <w:t>-0.2</w:t>
                  </w:r>
                </w:p>
              </w:tc>
              <w:tc>
                <w:tcPr>
                  <w:tcW w:w="1075" w:type="dxa"/>
                </w:tcPr>
                <w:p w14:paraId="38D2FDB1" w14:textId="77777777" w:rsidR="00C00455" w:rsidRPr="00C00455" w:rsidRDefault="00C00455" w:rsidP="00C00455">
                  <w:pPr>
                    <w:tabs>
                      <w:tab w:val="center" w:pos="4048"/>
                    </w:tabs>
                    <w:spacing w:before="240"/>
                  </w:pPr>
                </w:p>
              </w:tc>
            </w:tr>
            <w:tr w:rsidR="00C00455" w:rsidRPr="00C00455" w14:paraId="15CB1253" w14:textId="77777777" w:rsidTr="003D23BF">
              <w:tc>
                <w:tcPr>
                  <w:tcW w:w="4855" w:type="dxa"/>
                </w:tcPr>
                <w:p w14:paraId="77454DE9" w14:textId="77777777" w:rsidR="00C00455" w:rsidRPr="00C00455" w:rsidRDefault="00C00455" w:rsidP="00C00455">
                  <w:pPr>
                    <w:tabs>
                      <w:tab w:val="center" w:pos="4048"/>
                    </w:tabs>
                    <w:spacing w:before="240"/>
                  </w:pPr>
                  <w:r w:rsidRPr="00C00455">
                    <w:t xml:space="preserve">      NYS Unemployment Rate</w:t>
                  </w:r>
                </w:p>
              </w:tc>
              <w:tc>
                <w:tcPr>
                  <w:tcW w:w="1260" w:type="dxa"/>
                </w:tcPr>
                <w:p w14:paraId="38CAD071" w14:textId="77777777" w:rsidR="00C00455" w:rsidRPr="00C00455" w:rsidRDefault="00C00455" w:rsidP="00C00455">
                  <w:pPr>
                    <w:tabs>
                      <w:tab w:val="center" w:pos="4048"/>
                    </w:tabs>
                    <w:spacing w:before="240"/>
                  </w:pPr>
                  <w:r w:rsidRPr="00C00455">
                    <w:t>4.7%</w:t>
                  </w:r>
                </w:p>
              </w:tc>
              <w:tc>
                <w:tcPr>
                  <w:tcW w:w="2160" w:type="dxa"/>
                </w:tcPr>
                <w:p w14:paraId="57AB4F00" w14:textId="77777777" w:rsidR="00C00455" w:rsidRPr="00C00455" w:rsidRDefault="00C00455" w:rsidP="00C00455">
                  <w:pPr>
                    <w:tabs>
                      <w:tab w:val="center" w:pos="4048"/>
                    </w:tabs>
                    <w:spacing w:before="240"/>
                  </w:pPr>
                  <w:r w:rsidRPr="00C00455">
                    <w:t>-0.2</w:t>
                  </w:r>
                </w:p>
              </w:tc>
              <w:tc>
                <w:tcPr>
                  <w:tcW w:w="1075" w:type="dxa"/>
                </w:tcPr>
                <w:p w14:paraId="62028592" w14:textId="77777777" w:rsidR="00C00455" w:rsidRPr="00C00455" w:rsidRDefault="00C00455" w:rsidP="00C00455">
                  <w:pPr>
                    <w:tabs>
                      <w:tab w:val="center" w:pos="4048"/>
                    </w:tabs>
                    <w:spacing w:before="240"/>
                  </w:pPr>
                </w:p>
              </w:tc>
            </w:tr>
            <w:tr w:rsidR="00C00455" w:rsidRPr="00C00455" w14:paraId="2D57AA43" w14:textId="77777777" w:rsidTr="003D23BF">
              <w:tc>
                <w:tcPr>
                  <w:tcW w:w="4855" w:type="dxa"/>
                </w:tcPr>
                <w:p w14:paraId="2A8ABD4A" w14:textId="77777777" w:rsidR="00C00455" w:rsidRPr="00C00455" w:rsidRDefault="00C00455" w:rsidP="00C00455">
                  <w:pPr>
                    <w:tabs>
                      <w:tab w:val="center" w:pos="4048"/>
                    </w:tabs>
                    <w:spacing w:before="240"/>
                  </w:pPr>
                  <w:r w:rsidRPr="00C00455">
                    <w:t xml:space="preserve">      US Unemployment Rate</w:t>
                  </w:r>
                </w:p>
              </w:tc>
              <w:tc>
                <w:tcPr>
                  <w:tcW w:w="1260" w:type="dxa"/>
                </w:tcPr>
                <w:p w14:paraId="278C9022" w14:textId="77777777" w:rsidR="00C00455" w:rsidRPr="00C00455" w:rsidRDefault="00C00455" w:rsidP="00C00455">
                  <w:pPr>
                    <w:tabs>
                      <w:tab w:val="center" w:pos="4048"/>
                    </w:tabs>
                    <w:spacing w:before="240"/>
                  </w:pPr>
                  <w:r w:rsidRPr="00C00455">
                    <w:t>4.1%</w:t>
                  </w:r>
                </w:p>
              </w:tc>
              <w:tc>
                <w:tcPr>
                  <w:tcW w:w="2160" w:type="dxa"/>
                </w:tcPr>
                <w:p w14:paraId="5682306E" w14:textId="77777777" w:rsidR="00C00455" w:rsidRPr="00C00455" w:rsidRDefault="00C00455" w:rsidP="00C00455">
                  <w:pPr>
                    <w:tabs>
                      <w:tab w:val="center" w:pos="4048"/>
                    </w:tabs>
                    <w:spacing w:before="240"/>
                  </w:pPr>
                  <w:r w:rsidRPr="00C00455">
                    <w:t>-0.7</w:t>
                  </w:r>
                </w:p>
              </w:tc>
              <w:tc>
                <w:tcPr>
                  <w:tcW w:w="1075" w:type="dxa"/>
                </w:tcPr>
                <w:p w14:paraId="5B88E21F" w14:textId="77777777" w:rsidR="00C00455" w:rsidRPr="00C00455" w:rsidRDefault="00C00455" w:rsidP="00C00455">
                  <w:pPr>
                    <w:tabs>
                      <w:tab w:val="center" w:pos="4048"/>
                    </w:tabs>
                    <w:spacing w:before="240"/>
                  </w:pPr>
                </w:p>
              </w:tc>
            </w:tr>
            <w:tr w:rsidR="00C00455" w:rsidRPr="00C00455" w14:paraId="190C8386" w14:textId="77777777" w:rsidTr="003D23BF">
              <w:tc>
                <w:tcPr>
                  <w:tcW w:w="4855" w:type="dxa"/>
                </w:tcPr>
                <w:p w14:paraId="172B8E81" w14:textId="77777777" w:rsidR="00C00455" w:rsidRPr="00C00455" w:rsidRDefault="00C00455" w:rsidP="00C00455">
                  <w:pPr>
                    <w:tabs>
                      <w:tab w:val="center" w:pos="4048"/>
                    </w:tabs>
                    <w:spacing w:before="240"/>
                  </w:pPr>
                </w:p>
              </w:tc>
              <w:tc>
                <w:tcPr>
                  <w:tcW w:w="1260" w:type="dxa"/>
                </w:tcPr>
                <w:p w14:paraId="7D06AD3F" w14:textId="77777777" w:rsidR="00C00455" w:rsidRPr="00C00455" w:rsidRDefault="00C00455" w:rsidP="00C00455">
                  <w:pPr>
                    <w:tabs>
                      <w:tab w:val="center" w:pos="4048"/>
                    </w:tabs>
                    <w:spacing w:before="240"/>
                  </w:pPr>
                </w:p>
              </w:tc>
              <w:tc>
                <w:tcPr>
                  <w:tcW w:w="2160" w:type="dxa"/>
                </w:tcPr>
                <w:p w14:paraId="0431478C" w14:textId="77777777" w:rsidR="00C00455" w:rsidRPr="00C00455" w:rsidRDefault="00C00455" w:rsidP="00C00455">
                  <w:pPr>
                    <w:tabs>
                      <w:tab w:val="center" w:pos="4048"/>
                    </w:tabs>
                    <w:spacing w:before="240"/>
                  </w:pPr>
                </w:p>
              </w:tc>
              <w:tc>
                <w:tcPr>
                  <w:tcW w:w="1075" w:type="dxa"/>
                </w:tcPr>
                <w:p w14:paraId="71926A7F" w14:textId="77777777" w:rsidR="00C00455" w:rsidRPr="00C00455" w:rsidRDefault="00C00455" w:rsidP="00C00455">
                  <w:pPr>
                    <w:tabs>
                      <w:tab w:val="center" w:pos="4048"/>
                    </w:tabs>
                    <w:spacing w:before="240"/>
                  </w:pPr>
                </w:p>
              </w:tc>
            </w:tr>
            <w:tr w:rsidR="00C00455" w:rsidRPr="00C00455" w14:paraId="255B02EF" w14:textId="77777777" w:rsidTr="003D23BF">
              <w:tc>
                <w:tcPr>
                  <w:tcW w:w="4855" w:type="dxa"/>
                </w:tcPr>
                <w:p w14:paraId="101E690D" w14:textId="77777777" w:rsidR="00C00455" w:rsidRPr="00C00455" w:rsidRDefault="00C00455" w:rsidP="00C00455">
                  <w:pPr>
                    <w:tabs>
                      <w:tab w:val="center" w:pos="4048"/>
                    </w:tabs>
                    <w:spacing w:before="240"/>
                  </w:pPr>
                  <w:r w:rsidRPr="00C00455">
                    <w:t>Total Nonfarm</w:t>
                  </w:r>
                </w:p>
              </w:tc>
              <w:tc>
                <w:tcPr>
                  <w:tcW w:w="1260" w:type="dxa"/>
                </w:tcPr>
                <w:p w14:paraId="79B0C221" w14:textId="77777777" w:rsidR="00C00455" w:rsidRPr="00C00455" w:rsidRDefault="00C00455" w:rsidP="00C00455">
                  <w:pPr>
                    <w:tabs>
                      <w:tab w:val="center" w:pos="4048"/>
                    </w:tabs>
                    <w:spacing w:before="240"/>
                  </w:pPr>
                  <w:r w:rsidRPr="00C00455">
                    <w:t>160,100</w:t>
                  </w:r>
                </w:p>
              </w:tc>
              <w:tc>
                <w:tcPr>
                  <w:tcW w:w="2160" w:type="dxa"/>
                </w:tcPr>
                <w:p w14:paraId="0D1464DA" w14:textId="77777777" w:rsidR="00C00455" w:rsidRPr="00C00455" w:rsidRDefault="00C00455" w:rsidP="00C00455">
                  <w:pPr>
                    <w:tabs>
                      <w:tab w:val="center" w:pos="4048"/>
                    </w:tabs>
                    <w:spacing w:before="240"/>
                  </w:pPr>
                  <w:r w:rsidRPr="00C00455">
                    <w:t>1,300</w:t>
                  </w:r>
                </w:p>
              </w:tc>
              <w:tc>
                <w:tcPr>
                  <w:tcW w:w="1075" w:type="dxa"/>
                </w:tcPr>
                <w:p w14:paraId="626DB238" w14:textId="77777777" w:rsidR="00C00455" w:rsidRPr="00C00455" w:rsidRDefault="00C00455" w:rsidP="00C00455">
                  <w:pPr>
                    <w:tabs>
                      <w:tab w:val="center" w:pos="4048"/>
                    </w:tabs>
                    <w:spacing w:before="240"/>
                  </w:pPr>
                  <w:r w:rsidRPr="00C00455">
                    <w:t>0.8%</w:t>
                  </w:r>
                </w:p>
              </w:tc>
            </w:tr>
            <w:tr w:rsidR="00C00455" w:rsidRPr="00C00455" w14:paraId="6A94BA1D" w14:textId="77777777" w:rsidTr="003D23BF">
              <w:tc>
                <w:tcPr>
                  <w:tcW w:w="4855" w:type="dxa"/>
                </w:tcPr>
                <w:p w14:paraId="2F8C5694" w14:textId="77777777" w:rsidR="00C00455" w:rsidRPr="00C00455" w:rsidRDefault="00C00455" w:rsidP="00C00455">
                  <w:pPr>
                    <w:tabs>
                      <w:tab w:val="center" w:pos="4048"/>
                    </w:tabs>
                    <w:spacing w:before="240"/>
                  </w:pPr>
                  <w:r w:rsidRPr="00C00455">
                    <w:t>Total Private</w:t>
                  </w:r>
                </w:p>
              </w:tc>
              <w:tc>
                <w:tcPr>
                  <w:tcW w:w="1260" w:type="dxa"/>
                </w:tcPr>
                <w:p w14:paraId="35E237BE" w14:textId="77777777" w:rsidR="00C00455" w:rsidRPr="00C00455" w:rsidRDefault="00C00455" w:rsidP="00C00455">
                  <w:pPr>
                    <w:tabs>
                      <w:tab w:val="center" w:pos="4048"/>
                    </w:tabs>
                    <w:spacing w:before="240"/>
                  </w:pPr>
                  <w:r w:rsidRPr="00C00455">
                    <w:t>113,500</w:t>
                  </w:r>
                </w:p>
              </w:tc>
              <w:tc>
                <w:tcPr>
                  <w:tcW w:w="2160" w:type="dxa"/>
                </w:tcPr>
                <w:p w14:paraId="428154E8" w14:textId="77777777" w:rsidR="00C00455" w:rsidRPr="00C00455" w:rsidRDefault="00C00455" w:rsidP="00C00455">
                  <w:pPr>
                    <w:tabs>
                      <w:tab w:val="center" w:pos="4048"/>
                    </w:tabs>
                    <w:spacing w:before="240"/>
                  </w:pPr>
                  <w:r w:rsidRPr="00C00455">
                    <w:t>1,300</w:t>
                  </w:r>
                </w:p>
              </w:tc>
              <w:tc>
                <w:tcPr>
                  <w:tcW w:w="1075" w:type="dxa"/>
                </w:tcPr>
                <w:p w14:paraId="76A31CCC" w14:textId="77777777" w:rsidR="00C00455" w:rsidRPr="00C00455" w:rsidRDefault="00C00455" w:rsidP="00C00455">
                  <w:pPr>
                    <w:tabs>
                      <w:tab w:val="center" w:pos="4048"/>
                    </w:tabs>
                    <w:spacing w:before="240"/>
                  </w:pPr>
                  <w:r w:rsidRPr="00C00455">
                    <w:t>1.2%</w:t>
                  </w:r>
                </w:p>
              </w:tc>
            </w:tr>
            <w:tr w:rsidR="00C00455" w:rsidRPr="00C00455" w14:paraId="1F7519AE" w14:textId="77777777" w:rsidTr="003D23BF">
              <w:tc>
                <w:tcPr>
                  <w:tcW w:w="4855" w:type="dxa"/>
                </w:tcPr>
                <w:p w14:paraId="66B4DC0D" w14:textId="77777777" w:rsidR="00C00455" w:rsidRPr="00C00455" w:rsidRDefault="00C00455" w:rsidP="00C00455">
                  <w:pPr>
                    <w:tabs>
                      <w:tab w:val="center" w:pos="4048"/>
                    </w:tabs>
                    <w:spacing w:before="240"/>
                  </w:pPr>
                  <w:r w:rsidRPr="00C00455">
                    <w:t xml:space="preserve">   Goods-producing</w:t>
                  </w:r>
                </w:p>
              </w:tc>
              <w:tc>
                <w:tcPr>
                  <w:tcW w:w="1260" w:type="dxa"/>
                </w:tcPr>
                <w:p w14:paraId="436ABFAE" w14:textId="77777777" w:rsidR="00C00455" w:rsidRPr="00C00455" w:rsidRDefault="00C00455" w:rsidP="00C00455">
                  <w:pPr>
                    <w:tabs>
                      <w:tab w:val="center" w:pos="4048"/>
                    </w:tabs>
                    <w:spacing w:before="240"/>
                  </w:pPr>
                  <w:r w:rsidRPr="00C00455">
                    <w:t>17,400</w:t>
                  </w:r>
                </w:p>
              </w:tc>
              <w:tc>
                <w:tcPr>
                  <w:tcW w:w="2160" w:type="dxa"/>
                </w:tcPr>
                <w:p w14:paraId="714851B2" w14:textId="77777777" w:rsidR="00C00455" w:rsidRPr="00C00455" w:rsidRDefault="00C00455" w:rsidP="00C00455">
                  <w:pPr>
                    <w:tabs>
                      <w:tab w:val="center" w:pos="4048"/>
                    </w:tabs>
                    <w:spacing w:before="240"/>
                  </w:pPr>
                  <w:r w:rsidRPr="00C00455">
                    <w:t>300</w:t>
                  </w:r>
                </w:p>
              </w:tc>
              <w:tc>
                <w:tcPr>
                  <w:tcW w:w="1075" w:type="dxa"/>
                </w:tcPr>
                <w:p w14:paraId="7E73118C" w14:textId="77777777" w:rsidR="00C00455" w:rsidRPr="00C00455" w:rsidRDefault="00C00455" w:rsidP="00C00455">
                  <w:pPr>
                    <w:tabs>
                      <w:tab w:val="center" w:pos="4048"/>
                    </w:tabs>
                    <w:spacing w:before="240"/>
                  </w:pPr>
                  <w:r w:rsidRPr="00C00455">
                    <w:t>1.8%</w:t>
                  </w:r>
                </w:p>
              </w:tc>
            </w:tr>
            <w:tr w:rsidR="00C00455" w:rsidRPr="00C00455" w14:paraId="0B0C7527" w14:textId="77777777" w:rsidTr="003D23BF">
              <w:tc>
                <w:tcPr>
                  <w:tcW w:w="4855" w:type="dxa"/>
                </w:tcPr>
                <w:p w14:paraId="6A66D863" w14:textId="77777777" w:rsidR="00C00455" w:rsidRPr="00C00455" w:rsidRDefault="00C00455" w:rsidP="00C00455">
                  <w:pPr>
                    <w:tabs>
                      <w:tab w:val="center" w:pos="4048"/>
                    </w:tabs>
                    <w:spacing w:before="240"/>
                  </w:pPr>
                  <w:r w:rsidRPr="00C00455">
                    <w:t xml:space="preserve">      Natural Resources, Mining &amp; Construction</w:t>
                  </w:r>
                </w:p>
              </w:tc>
              <w:tc>
                <w:tcPr>
                  <w:tcW w:w="1260" w:type="dxa"/>
                </w:tcPr>
                <w:p w14:paraId="0688464E" w14:textId="77777777" w:rsidR="00C00455" w:rsidRPr="00C00455" w:rsidRDefault="00C00455" w:rsidP="00C00455">
                  <w:pPr>
                    <w:tabs>
                      <w:tab w:val="center" w:pos="4048"/>
                    </w:tabs>
                    <w:spacing w:before="240"/>
                  </w:pPr>
                  <w:r w:rsidRPr="00C00455">
                    <w:t>6,900</w:t>
                  </w:r>
                </w:p>
              </w:tc>
              <w:tc>
                <w:tcPr>
                  <w:tcW w:w="2160" w:type="dxa"/>
                </w:tcPr>
                <w:p w14:paraId="34FDC6E0" w14:textId="77777777" w:rsidR="00C00455" w:rsidRPr="00C00455" w:rsidRDefault="00C00455" w:rsidP="00C00455">
                  <w:pPr>
                    <w:tabs>
                      <w:tab w:val="center" w:pos="4048"/>
                    </w:tabs>
                    <w:spacing w:before="240"/>
                  </w:pPr>
                  <w:r w:rsidRPr="00C00455">
                    <w:t>200</w:t>
                  </w:r>
                </w:p>
              </w:tc>
              <w:tc>
                <w:tcPr>
                  <w:tcW w:w="1075" w:type="dxa"/>
                </w:tcPr>
                <w:p w14:paraId="06C33D1F" w14:textId="77777777" w:rsidR="00C00455" w:rsidRPr="00C00455" w:rsidRDefault="00C00455" w:rsidP="00C00455">
                  <w:pPr>
                    <w:tabs>
                      <w:tab w:val="center" w:pos="4048"/>
                    </w:tabs>
                    <w:spacing w:before="240"/>
                  </w:pPr>
                  <w:r w:rsidRPr="00C00455">
                    <w:t>3.0%</w:t>
                  </w:r>
                </w:p>
              </w:tc>
            </w:tr>
            <w:tr w:rsidR="00C00455" w:rsidRPr="00C00455" w14:paraId="5DD75E96" w14:textId="77777777" w:rsidTr="003D23BF">
              <w:tc>
                <w:tcPr>
                  <w:tcW w:w="4855" w:type="dxa"/>
                </w:tcPr>
                <w:p w14:paraId="77F7170E" w14:textId="77777777" w:rsidR="00C00455" w:rsidRPr="00C00455" w:rsidRDefault="00C00455" w:rsidP="00C00455">
                  <w:pPr>
                    <w:tabs>
                      <w:tab w:val="center" w:pos="4048"/>
                    </w:tabs>
                    <w:spacing w:before="240"/>
                  </w:pPr>
                  <w:r w:rsidRPr="00C00455">
                    <w:t xml:space="preserve">      Manufacturing</w:t>
                  </w:r>
                </w:p>
              </w:tc>
              <w:tc>
                <w:tcPr>
                  <w:tcW w:w="1260" w:type="dxa"/>
                </w:tcPr>
                <w:p w14:paraId="5D3C75A3" w14:textId="77777777" w:rsidR="00C00455" w:rsidRPr="00C00455" w:rsidRDefault="00C00455" w:rsidP="00C00455">
                  <w:pPr>
                    <w:tabs>
                      <w:tab w:val="center" w:pos="4048"/>
                    </w:tabs>
                    <w:spacing w:before="240"/>
                  </w:pPr>
                  <w:r w:rsidRPr="00C00455">
                    <w:t>10,500</w:t>
                  </w:r>
                </w:p>
              </w:tc>
              <w:tc>
                <w:tcPr>
                  <w:tcW w:w="2160" w:type="dxa"/>
                </w:tcPr>
                <w:p w14:paraId="7379CA4D" w14:textId="77777777" w:rsidR="00C00455" w:rsidRPr="00C00455" w:rsidRDefault="00C00455" w:rsidP="00C00455">
                  <w:pPr>
                    <w:tabs>
                      <w:tab w:val="center" w:pos="4048"/>
                    </w:tabs>
                    <w:spacing w:before="240"/>
                  </w:pPr>
                  <w:r w:rsidRPr="00C00455">
                    <w:t>100</w:t>
                  </w:r>
                </w:p>
              </w:tc>
              <w:tc>
                <w:tcPr>
                  <w:tcW w:w="1075" w:type="dxa"/>
                </w:tcPr>
                <w:p w14:paraId="2252CEE1" w14:textId="77777777" w:rsidR="00C00455" w:rsidRPr="00C00455" w:rsidRDefault="00C00455" w:rsidP="00C00455">
                  <w:pPr>
                    <w:tabs>
                      <w:tab w:val="center" w:pos="4048"/>
                    </w:tabs>
                    <w:spacing w:before="240"/>
                  </w:pPr>
                  <w:r w:rsidRPr="00C00455">
                    <w:t>1.0%</w:t>
                  </w:r>
                </w:p>
              </w:tc>
            </w:tr>
            <w:tr w:rsidR="00C00455" w:rsidRPr="00C00455" w14:paraId="78802C3F" w14:textId="77777777" w:rsidTr="003D23BF">
              <w:tc>
                <w:tcPr>
                  <w:tcW w:w="4855" w:type="dxa"/>
                </w:tcPr>
                <w:p w14:paraId="2A5479F5" w14:textId="77777777" w:rsidR="00C00455" w:rsidRPr="00C00455" w:rsidRDefault="00C00455" w:rsidP="00C00455">
                  <w:pPr>
                    <w:tabs>
                      <w:tab w:val="center" w:pos="4048"/>
                    </w:tabs>
                    <w:spacing w:before="240"/>
                  </w:pPr>
                  <w:r w:rsidRPr="00C00455">
                    <w:t xml:space="preserve">   Service-Providing</w:t>
                  </w:r>
                </w:p>
              </w:tc>
              <w:tc>
                <w:tcPr>
                  <w:tcW w:w="1260" w:type="dxa"/>
                </w:tcPr>
                <w:p w14:paraId="05D78134" w14:textId="77777777" w:rsidR="00C00455" w:rsidRPr="00C00455" w:rsidRDefault="00C00455" w:rsidP="00C00455">
                  <w:pPr>
                    <w:tabs>
                      <w:tab w:val="center" w:pos="4048"/>
                    </w:tabs>
                    <w:spacing w:before="240"/>
                  </w:pPr>
                  <w:r w:rsidRPr="00C00455">
                    <w:t>142,700</w:t>
                  </w:r>
                </w:p>
              </w:tc>
              <w:tc>
                <w:tcPr>
                  <w:tcW w:w="2160" w:type="dxa"/>
                </w:tcPr>
                <w:p w14:paraId="37844929" w14:textId="77777777" w:rsidR="00C00455" w:rsidRPr="00C00455" w:rsidRDefault="00C00455" w:rsidP="00C00455">
                  <w:pPr>
                    <w:tabs>
                      <w:tab w:val="center" w:pos="4048"/>
                    </w:tabs>
                    <w:spacing w:before="240"/>
                  </w:pPr>
                  <w:r w:rsidRPr="00C00455">
                    <w:t>1,000</w:t>
                  </w:r>
                </w:p>
              </w:tc>
              <w:tc>
                <w:tcPr>
                  <w:tcW w:w="1075" w:type="dxa"/>
                </w:tcPr>
                <w:p w14:paraId="68F7763F" w14:textId="77777777" w:rsidR="00C00455" w:rsidRPr="00C00455" w:rsidRDefault="00C00455" w:rsidP="00C00455">
                  <w:pPr>
                    <w:tabs>
                      <w:tab w:val="center" w:pos="4048"/>
                    </w:tabs>
                    <w:spacing w:before="240"/>
                  </w:pPr>
                  <w:r w:rsidRPr="00C00455">
                    <w:t>0.7%</w:t>
                  </w:r>
                </w:p>
              </w:tc>
            </w:tr>
            <w:tr w:rsidR="00C00455" w:rsidRPr="00C00455" w14:paraId="4068DA01" w14:textId="77777777" w:rsidTr="003D23BF">
              <w:tc>
                <w:tcPr>
                  <w:tcW w:w="4855" w:type="dxa"/>
                </w:tcPr>
                <w:p w14:paraId="682E5329" w14:textId="77777777" w:rsidR="00C00455" w:rsidRPr="00C00455" w:rsidRDefault="00C00455" w:rsidP="00C00455">
                  <w:pPr>
                    <w:tabs>
                      <w:tab w:val="center" w:pos="4048"/>
                    </w:tabs>
                    <w:spacing w:before="240"/>
                  </w:pPr>
                  <w:r w:rsidRPr="00C00455">
                    <w:t xml:space="preserve">      Private Service-Providing</w:t>
                  </w:r>
                </w:p>
              </w:tc>
              <w:tc>
                <w:tcPr>
                  <w:tcW w:w="1260" w:type="dxa"/>
                </w:tcPr>
                <w:p w14:paraId="543949D9" w14:textId="77777777" w:rsidR="00C00455" w:rsidRPr="00C00455" w:rsidRDefault="00C00455" w:rsidP="00C00455">
                  <w:pPr>
                    <w:tabs>
                      <w:tab w:val="center" w:pos="4048"/>
                    </w:tabs>
                    <w:spacing w:before="240"/>
                  </w:pPr>
                  <w:r w:rsidRPr="00C00455">
                    <w:t>96,100</w:t>
                  </w:r>
                </w:p>
              </w:tc>
              <w:tc>
                <w:tcPr>
                  <w:tcW w:w="2160" w:type="dxa"/>
                </w:tcPr>
                <w:p w14:paraId="34D2F0A2" w14:textId="77777777" w:rsidR="00C00455" w:rsidRPr="00C00455" w:rsidRDefault="00C00455" w:rsidP="00C00455">
                  <w:pPr>
                    <w:tabs>
                      <w:tab w:val="center" w:pos="4048"/>
                    </w:tabs>
                    <w:spacing w:before="240"/>
                  </w:pPr>
                  <w:r w:rsidRPr="00C00455">
                    <w:t>1,000</w:t>
                  </w:r>
                </w:p>
              </w:tc>
              <w:tc>
                <w:tcPr>
                  <w:tcW w:w="1075" w:type="dxa"/>
                </w:tcPr>
                <w:p w14:paraId="1B6658C9" w14:textId="77777777" w:rsidR="00C00455" w:rsidRPr="00C00455" w:rsidRDefault="00C00455" w:rsidP="00C00455">
                  <w:pPr>
                    <w:tabs>
                      <w:tab w:val="center" w:pos="4048"/>
                    </w:tabs>
                    <w:spacing w:before="240"/>
                  </w:pPr>
                  <w:r w:rsidRPr="00C00455">
                    <w:t>1.1%</w:t>
                  </w:r>
                </w:p>
              </w:tc>
            </w:tr>
            <w:tr w:rsidR="00C00455" w:rsidRPr="00C00455" w14:paraId="5F16D899" w14:textId="77777777" w:rsidTr="003D23BF">
              <w:tc>
                <w:tcPr>
                  <w:tcW w:w="4855" w:type="dxa"/>
                </w:tcPr>
                <w:p w14:paraId="1180410B" w14:textId="77777777" w:rsidR="00C00455" w:rsidRPr="00C00455" w:rsidRDefault="00C00455" w:rsidP="00C00455">
                  <w:pPr>
                    <w:tabs>
                      <w:tab w:val="center" w:pos="4048"/>
                    </w:tabs>
                    <w:spacing w:before="240"/>
                  </w:pPr>
                  <w:r w:rsidRPr="00C00455">
                    <w:t xml:space="preserve">         Trade, Transportation &amp; Utilities</w:t>
                  </w:r>
                </w:p>
              </w:tc>
              <w:tc>
                <w:tcPr>
                  <w:tcW w:w="1260" w:type="dxa"/>
                </w:tcPr>
                <w:p w14:paraId="004BECF6" w14:textId="77777777" w:rsidR="00C00455" w:rsidRPr="00C00455" w:rsidRDefault="00C00455" w:rsidP="00C00455">
                  <w:pPr>
                    <w:tabs>
                      <w:tab w:val="center" w:pos="4048"/>
                    </w:tabs>
                    <w:spacing w:before="240"/>
                  </w:pPr>
                  <w:r w:rsidRPr="00C00455">
                    <w:t>28,600</w:t>
                  </w:r>
                </w:p>
              </w:tc>
              <w:tc>
                <w:tcPr>
                  <w:tcW w:w="2160" w:type="dxa"/>
                </w:tcPr>
                <w:p w14:paraId="7BCE420D" w14:textId="77777777" w:rsidR="00C00455" w:rsidRPr="00C00455" w:rsidRDefault="00C00455" w:rsidP="00C00455">
                  <w:pPr>
                    <w:tabs>
                      <w:tab w:val="center" w:pos="4048"/>
                    </w:tabs>
                    <w:spacing w:before="240"/>
                  </w:pPr>
                  <w:r w:rsidRPr="00C00455">
                    <w:t>500</w:t>
                  </w:r>
                </w:p>
              </w:tc>
              <w:tc>
                <w:tcPr>
                  <w:tcW w:w="1075" w:type="dxa"/>
                </w:tcPr>
                <w:p w14:paraId="32C8DEC4" w14:textId="77777777" w:rsidR="00C00455" w:rsidRPr="00C00455" w:rsidRDefault="00C00455" w:rsidP="00C00455">
                  <w:pPr>
                    <w:tabs>
                      <w:tab w:val="center" w:pos="4048"/>
                    </w:tabs>
                    <w:spacing w:before="240"/>
                  </w:pPr>
                  <w:r w:rsidRPr="00C00455">
                    <w:t>1.8%</w:t>
                  </w:r>
                </w:p>
              </w:tc>
            </w:tr>
            <w:tr w:rsidR="00C00455" w:rsidRPr="00C00455" w14:paraId="4379CBFA" w14:textId="77777777" w:rsidTr="003D23BF">
              <w:tc>
                <w:tcPr>
                  <w:tcW w:w="4855" w:type="dxa"/>
                </w:tcPr>
                <w:p w14:paraId="0A8045CB" w14:textId="77777777" w:rsidR="00C00455" w:rsidRPr="00C00455" w:rsidRDefault="00C00455" w:rsidP="00C00455">
                  <w:pPr>
                    <w:tabs>
                      <w:tab w:val="center" w:pos="4048"/>
                    </w:tabs>
                    <w:spacing w:before="240"/>
                  </w:pPr>
                  <w:r w:rsidRPr="00C00455">
                    <w:lastRenderedPageBreak/>
                    <w:t xml:space="preserve">         Information</w:t>
                  </w:r>
                </w:p>
              </w:tc>
              <w:tc>
                <w:tcPr>
                  <w:tcW w:w="1260" w:type="dxa"/>
                </w:tcPr>
                <w:p w14:paraId="760238E9" w14:textId="77777777" w:rsidR="00C00455" w:rsidRPr="00C00455" w:rsidRDefault="00C00455" w:rsidP="00C00455">
                  <w:pPr>
                    <w:tabs>
                      <w:tab w:val="center" w:pos="4048"/>
                    </w:tabs>
                    <w:spacing w:before="240"/>
                  </w:pPr>
                  <w:r w:rsidRPr="00C00455">
                    <w:t>1,800</w:t>
                  </w:r>
                </w:p>
              </w:tc>
              <w:tc>
                <w:tcPr>
                  <w:tcW w:w="2160" w:type="dxa"/>
                </w:tcPr>
                <w:p w14:paraId="4E4E3D60" w14:textId="77777777" w:rsidR="00C00455" w:rsidRPr="00C00455" w:rsidRDefault="00C00455" w:rsidP="00C00455">
                  <w:pPr>
                    <w:tabs>
                      <w:tab w:val="center" w:pos="4048"/>
                    </w:tabs>
                    <w:spacing w:before="240"/>
                  </w:pPr>
                  <w:r w:rsidRPr="00C00455">
                    <w:t>0</w:t>
                  </w:r>
                </w:p>
              </w:tc>
              <w:tc>
                <w:tcPr>
                  <w:tcW w:w="1075" w:type="dxa"/>
                </w:tcPr>
                <w:p w14:paraId="2A957A19" w14:textId="77777777" w:rsidR="00C00455" w:rsidRPr="00C00455" w:rsidRDefault="00C00455" w:rsidP="00C00455">
                  <w:pPr>
                    <w:tabs>
                      <w:tab w:val="center" w:pos="4048"/>
                    </w:tabs>
                    <w:spacing w:before="240"/>
                  </w:pPr>
                  <w:r w:rsidRPr="00C00455">
                    <w:t>0.0%</w:t>
                  </w:r>
                </w:p>
              </w:tc>
            </w:tr>
            <w:tr w:rsidR="00C00455" w:rsidRPr="00C00455" w14:paraId="292DD121" w14:textId="77777777" w:rsidTr="003D23BF">
              <w:tc>
                <w:tcPr>
                  <w:tcW w:w="4855" w:type="dxa"/>
                </w:tcPr>
                <w:p w14:paraId="329306D2" w14:textId="77777777" w:rsidR="00C00455" w:rsidRPr="00C00455" w:rsidRDefault="00C00455" w:rsidP="00C00455">
                  <w:pPr>
                    <w:tabs>
                      <w:tab w:val="center" w:pos="4048"/>
                    </w:tabs>
                    <w:spacing w:before="240"/>
                  </w:pPr>
                  <w:r w:rsidRPr="00C00455">
                    <w:t xml:space="preserve">         Financial Activities</w:t>
                  </w:r>
                </w:p>
              </w:tc>
              <w:tc>
                <w:tcPr>
                  <w:tcW w:w="1260" w:type="dxa"/>
                </w:tcPr>
                <w:p w14:paraId="4D796754" w14:textId="77777777" w:rsidR="00C00455" w:rsidRPr="00C00455" w:rsidRDefault="00C00455" w:rsidP="00C00455">
                  <w:pPr>
                    <w:tabs>
                      <w:tab w:val="center" w:pos="4048"/>
                    </w:tabs>
                    <w:spacing w:before="240"/>
                  </w:pPr>
                  <w:r w:rsidRPr="00C00455">
                    <w:t>3,700</w:t>
                  </w:r>
                </w:p>
              </w:tc>
              <w:tc>
                <w:tcPr>
                  <w:tcW w:w="2160" w:type="dxa"/>
                </w:tcPr>
                <w:p w14:paraId="457DCE78" w14:textId="77777777" w:rsidR="00C00455" w:rsidRPr="00C00455" w:rsidRDefault="00C00455" w:rsidP="00C00455">
                  <w:pPr>
                    <w:tabs>
                      <w:tab w:val="center" w:pos="4048"/>
                    </w:tabs>
                    <w:spacing w:before="240"/>
                  </w:pPr>
                  <w:r w:rsidRPr="00C00455">
                    <w:t>0</w:t>
                  </w:r>
                </w:p>
              </w:tc>
              <w:tc>
                <w:tcPr>
                  <w:tcW w:w="1075" w:type="dxa"/>
                </w:tcPr>
                <w:p w14:paraId="066699FA" w14:textId="77777777" w:rsidR="00C00455" w:rsidRPr="00C00455" w:rsidRDefault="00C00455" w:rsidP="00C00455">
                  <w:pPr>
                    <w:tabs>
                      <w:tab w:val="center" w:pos="4048"/>
                    </w:tabs>
                    <w:spacing w:before="240"/>
                  </w:pPr>
                  <w:r w:rsidRPr="00C00455">
                    <w:t>0.0%</w:t>
                  </w:r>
                </w:p>
              </w:tc>
            </w:tr>
            <w:tr w:rsidR="00C00455" w:rsidRPr="00C00455" w14:paraId="35EC1219" w14:textId="77777777" w:rsidTr="003D23BF">
              <w:tc>
                <w:tcPr>
                  <w:tcW w:w="4855" w:type="dxa"/>
                </w:tcPr>
                <w:p w14:paraId="5DBCB980" w14:textId="77777777" w:rsidR="00C00455" w:rsidRPr="00C00455" w:rsidRDefault="00C00455" w:rsidP="00C00455">
                  <w:pPr>
                    <w:tabs>
                      <w:tab w:val="center" w:pos="4048"/>
                    </w:tabs>
                    <w:spacing w:before="240"/>
                  </w:pPr>
                  <w:r w:rsidRPr="00C00455">
                    <w:t xml:space="preserve">         Professional &amp; Business Services</w:t>
                  </w:r>
                </w:p>
              </w:tc>
              <w:tc>
                <w:tcPr>
                  <w:tcW w:w="1260" w:type="dxa"/>
                </w:tcPr>
                <w:p w14:paraId="2C254D86" w14:textId="77777777" w:rsidR="00C00455" w:rsidRPr="00C00455" w:rsidRDefault="00C00455" w:rsidP="00C00455">
                  <w:pPr>
                    <w:tabs>
                      <w:tab w:val="center" w:pos="4048"/>
                    </w:tabs>
                    <w:spacing w:before="240"/>
                  </w:pPr>
                  <w:r w:rsidRPr="00C00455">
                    <w:t>7,000</w:t>
                  </w:r>
                </w:p>
              </w:tc>
              <w:tc>
                <w:tcPr>
                  <w:tcW w:w="2160" w:type="dxa"/>
                </w:tcPr>
                <w:p w14:paraId="2E1BE858" w14:textId="77777777" w:rsidR="00C00455" w:rsidRPr="00C00455" w:rsidRDefault="00C00455" w:rsidP="00C00455">
                  <w:pPr>
                    <w:tabs>
                      <w:tab w:val="center" w:pos="4048"/>
                    </w:tabs>
                    <w:spacing w:before="240"/>
                  </w:pPr>
                  <w:r w:rsidRPr="00C00455">
                    <w:t>0</w:t>
                  </w:r>
                </w:p>
              </w:tc>
              <w:tc>
                <w:tcPr>
                  <w:tcW w:w="1075" w:type="dxa"/>
                </w:tcPr>
                <w:p w14:paraId="7FAD4990" w14:textId="77777777" w:rsidR="00C00455" w:rsidRPr="00C00455" w:rsidRDefault="00C00455" w:rsidP="00C00455">
                  <w:pPr>
                    <w:tabs>
                      <w:tab w:val="center" w:pos="4048"/>
                    </w:tabs>
                    <w:spacing w:before="240"/>
                  </w:pPr>
                  <w:r w:rsidRPr="00C00455">
                    <w:t>0.0%</w:t>
                  </w:r>
                </w:p>
              </w:tc>
            </w:tr>
            <w:tr w:rsidR="00C00455" w:rsidRPr="00C00455" w14:paraId="07DB8458" w14:textId="77777777" w:rsidTr="003D23BF">
              <w:tc>
                <w:tcPr>
                  <w:tcW w:w="4855" w:type="dxa"/>
                </w:tcPr>
                <w:p w14:paraId="3C7F1B6E" w14:textId="77777777" w:rsidR="00C00455" w:rsidRPr="00C00455" w:rsidRDefault="00C00455" w:rsidP="00C00455">
                  <w:pPr>
                    <w:tabs>
                      <w:tab w:val="center" w:pos="4048"/>
                    </w:tabs>
                    <w:spacing w:before="240"/>
                  </w:pPr>
                  <w:r w:rsidRPr="00C00455">
                    <w:t xml:space="preserve">         Education &amp; Health Services</w:t>
                  </w:r>
                </w:p>
              </w:tc>
              <w:tc>
                <w:tcPr>
                  <w:tcW w:w="1260" w:type="dxa"/>
                </w:tcPr>
                <w:p w14:paraId="734C1656" w14:textId="77777777" w:rsidR="00C00455" w:rsidRPr="00C00455" w:rsidRDefault="00C00455" w:rsidP="00C00455">
                  <w:pPr>
                    <w:tabs>
                      <w:tab w:val="center" w:pos="4048"/>
                    </w:tabs>
                    <w:spacing w:before="240"/>
                  </w:pPr>
                  <w:r w:rsidRPr="00C00455">
                    <w:t>32,300</w:t>
                  </w:r>
                </w:p>
              </w:tc>
              <w:tc>
                <w:tcPr>
                  <w:tcW w:w="2160" w:type="dxa"/>
                </w:tcPr>
                <w:p w14:paraId="4901D71B" w14:textId="77777777" w:rsidR="00C00455" w:rsidRPr="00C00455" w:rsidRDefault="00C00455" w:rsidP="00C00455">
                  <w:pPr>
                    <w:tabs>
                      <w:tab w:val="center" w:pos="4048"/>
                    </w:tabs>
                    <w:spacing w:before="240"/>
                  </w:pPr>
                  <w:r w:rsidRPr="00C00455">
                    <w:t>500</w:t>
                  </w:r>
                </w:p>
              </w:tc>
              <w:tc>
                <w:tcPr>
                  <w:tcW w:w="1075" w:type="dxa"/>
                </w:tcPr>
                <w:p w14:paraId="66A5F601" w14:textId="77777777" w:rsidR="00C00455" w:rsidRPr="00C00455" w:rsidRDefault="00C00455" w:rsidP="00C00455">
                  <w:pPr>
                    <w:tabs>
                      <w:tab w:val="center" w:pos="4048"/>
                    </w:tabs>
                    <w:spacing w:before="240"/>
                  </w:pPr>
                  <w:r w:rsidRPr="00C00455">
                    <w:t>1.6%</w:t>
                  </w:r>
                </w:p>
              </w:tc>
            </w:tr>
            <w:tr w:rsidR="00C00455" w:rsidRPr="00C00455" w14:paraId="6B4B6286" w14:textId="77777777" w:rsidTr="003D23BF">
              <w:tc>
                <w:tcPr>
                  <w:tcW w:w="4855" w:type="dxa"/>
                </w:tcPr>
                <w:p w14:paraId="0B70E0BD" w14:textId="77777777" w:rsidR="00C00455" w:rsidRPr="00C00455" w:rsidRDefault="00C00455" w:rsidP="00C00455">
                  <w:pPr>
                    <w:tabs>
                      <w:tab w:val="center" w:pos="4048"/>
                    </w:tabs>
                    <w:spacing w:before="240"/>
                  </w:pPr>
                  <w:r w:rsidRPr="00C00455">
                    <w:t xml:space="preserve">         Leisure &amp; Hospitality</w:t>
                  </w:r>
                </w:p>
              </w:tc>
              <w:tc>
                <w:tcPr>
                  <w:tcW w:w="1260" w:type="dxa"/>
                </w:tcPr>
                <w:p w14:paraId="046A720E" w14:textId="77777777" w:rsidR="00C00455" w:rsidRPr="00C00455" w:rsidRDefault="00C00455" w:rsidP="00C00455">
                  <w:pPr>
                    <w:tabs>
                      <w:tab w:val="center" w:pos="4048"/>
                    </w:tabs>
                    <w:spacing w:before="240"/>
                  </w:pPr>
                  <w:r w:rsidRPr="00C00455">
                    <w:t>17,600</w:t>
                  </w:r>
                </w:p>
              </w:tc>
              <w:tc>
                <w:tcPr>
                  <w:tcW w:w="2160" w:type="dxa"/>
                </w:tcPr>
                <w:p w14:paraId="02A629D4" w14:textId="77777777" w:rsidR="00C00455" w:rsidRPr="00C00455" w:rsidRDefault="00C00455" w:rsidP="00C00455">
                  <w:pPr>
                    <w:tabs>
                      <w:tab w:val="center" w:pos="4048"/>
                    </w:tabs>
                    <w:spacing w:before="240"/>
                  </w:pPr>
                  <w:r w:rsidRPr="00C00455">
                    <w:t>-100</w:t>
                  </w:r>
                </w:p>
              </w:tc>
              <w:tc>
                <w:tcPr>
                  <w:tcW w:w="1075" w:type="dxa"/>
                </w:tcPr>
                <w:p w14:paraId="3B9F59F8" w14:textId="77777777" w:rsidR="00C00455" w:rsidRPr="00C00455" w:rsidRDefault="00C00455" w:rsidP="00C00455">
                  <w:pPr>
                    <w:tabs>
                      <w:tab w:val="center" w:pos="4048"/>
                    </w:tabs>
                    <w:spacing w:before="240"/>
                  </w:pPr>
                  <w:r w:rsidRPr="00C00455">
                    <w:t>-0.6%</w:t>
                  </w:r>
                </w:p>
              </w:tc>
            </w:tr>
            <w:tr w:rsidR="00C00455" w:rsidRPr="00C00455" w14:paraId="522ED8C6" w14:textId="77777777" w:rsidTr="003D23BF">
              <w:tc>
                <w:tcPr>
                  <w:tcW w:w="4855" w:type="dxa"/>
                </w:tcPr>
                <w:p w14:paraId="460FA0F2" w14:textId="77777777" w:rsidR="00C00455" w:rsidRPr="00C00455" w:rsidRDefault="00C00455" w:rsidP="00C00455">
                  <w:pPr>
                    <w:tabs>
                      <w:tab w:val="center" w:pos="4048"/>
                    </w:tabs>
                    <w:spacing w:before="240"/>
                  </w:pPr>
                  <w:r w:rsidRPr="00C00455">
                    <w:t xml:space="preserve">         Other Services</w:t>
                  </w:r>
                </w:p>
              </w:tc>
              <w:tc>
                <w:tcPr>
                  <w:tcW w:w="1260" w:type="dxa"/>
                </w:tcPr>
                <w:p w14:paraId="609E3DE7" w14:textId="77777777" w:rsidR="00C00455" w:rsidRPr="00C00455" w:rsidRDefault="00C00455" w:rsidP="00C00455">
                  <w:pPr>
                    <w:tabs>
                      <w:tab w:val="center" w:pos="4048"/>
                    </w:tabs>
                    <w:spacing w:before="240"/>
                  </w:pPr>
                  <w:r w:rsidRPr="00C00455">
                    <w:t>5,100</w:t>
                  </w:r>
                </w:p>
              </w:tc>
              <w:tc>
                <w:tcPr>
                  <w:tcW w:w="2160" w:type="dxa"/>
                </w:tcPr>
                <w:p w14:paraId="31B9A687" w14:textId="77777777" w:rsidR="00C00455" w:rsidRPr="00C00455" w:rsidRDefault="00C00455" w:rsidP="00C00455">
                  <w:pPr>
                    <w:tabs>
                      <w:tab w:val="center" w:pos="4048"/>
                    </w:tabs>
                    <w:spacing w:before="240"/>
                  </w:pPr>
                  <w:r w:rsidRPr="00C00455">
                    <w:t>100</w:t>
                  </w:r>
                </w:p>
              </w:tc>
              <w:tc>
                <w:tcPr>
                  <w:tcW w:w="1075" w:type="dxa"/>
                </w:tcPr>
                <w:p w14:paraId="3A365A31" w14:textId="77777777" w:rsidR="00C00455" w:rsidRPr="00C00455" w:rsidRDefault="00C00455" w:rsidP="00C00455">
                  <w:pPr>
                    <w:tabs>
                      <w:tab w:val="center" w:pos="4048"/>
                    </w:tabs>
                    <w:spacing w:before="240"/>
                  </w:pPr>
                  <w:r w:rsidRPr="00C00455">
                    <w:t>2.0%</w:t>
                  </w:r>
                </w:p>
              </w:tc>
            </w:tr>
            <w:tr w:rsidR="00C00455" w:rsidRPr="00C00455" w14:paraId="3D7D3E66" w14:textId="77777777" w:rsidTr="003D23BF">
              <w:tc>
                <w:tcPr>
                  <w:tcW w:w="4855" w:type="dxa"/>
                </w:tcPr>
                <w:p w14:paraId="6A3F0F00" w14:textId="77777777" w:rsidR="00C00455" w:rsidRPr="00C00455" w:rsidRDefault="00C00455" w:rsidP="00C00455">
                  <w:pPr>
                    <w:tabs>
                      <w:tab w:val="center" w:pos="4048"/>
                    </w:tabs>
                    <w:spacing w:before="240"/>
                  </w:pPr>
                  <w:r w:rsidRPr="00C00455">
                    <w:t xml:space="preserve">      Government</w:t>
                  </w:r>
                </w:p>
              </w:tc>
              <w:tc>
                <w:tcPr>
                  <w:tcW w:w="1260" w:type="dxa"/>
                </w:tcPr>
                <w:p w14:paraId="102F627F" w14:textId="77777777" w:rsidR="00C00455" w:rsidRPr="00C00455" w:rsidRDefault="00C00455" w:rsidP="00C00455">
                  <w:pPr>
                    <w:tabs>
                      <w:tab w:val="center" w:pos="4048"/>
                    </w:tabs>
                    <w:spacing w:before="240"/>
                  </w:pPr>
                  <w:r w:rsidRPr="00C00455">
                    <w:t>46,600</w:t>
                  </w:r>
                </w:p>
              </w:tc>
              <w:tc>
                <w:tcPr>
                  <w:tcW w:w="2160" w:type="dxa"/>
                </w:tcPr>
                <w:p w14:paraId="04E26068" w14:textId="77777777" w:rsidR="00C00455" w:rsidRPr="00C00455" w:rsidRDefault="00C00455" w:rsidP="00C00455">
                  <w:pPr>
                    <w:tabs>
                      <w:tab w:val="center" w:pos="4048"/>
                    </w:tabs>
                    <w:spacing w:before="240"/>
                  </w:pPr>
                  <w:r w:rsidRPr="00C00455">
                    <w:t>0</w:t>
                  </w:r>
                </w:p>
              </w:tc>
              <w:tc>
                <w:tcPr>
                  <w:tcW w:w="1075" w:type="dxa"/>
                </w:tcPr>
                <w:p w14:paraId="7B992715" w14:textId="77777777" w:rsidR="00C00455" w:rsidRPr="00C00455" w:rsidRDefault="00C00455" w:rsidP="00C00455">
                  <w:pPr>
                    <w:tabs>
                      <w:tab w:val="center" w:pos="4048"/>
                    </w:tabs>
                    <w:spacing w:before="240"/>
                  </w:pPr>
                  <w:r w:rsidRPr="00C00455">
                    <w:t>0.0%</w:t>
                  </w:r>
                </w:p>
              </w:tc>
            </w:tr>
          </w:tbl>
          <w:p w14:paraId="38FC7234" w14:textId="6D894B2E" w:rsidR="00587CA4" w:rsidRDefault="00587CA4" w:rsidP="00ED7916">
            <w:pPr>
              <w:tabs>
                <w:tab w:val="center" w:pos="4048"/>
              </w:tabs>
              <w:spacing w:before="240" w:after="0" w:line="240" w:lineRule="auto"/>
            </w:pPr>
          </w:p>
        </w:tc>
      </w:tr>
    </w:tbl>
    <w:p w14:paraId="10ABC9B4" w14:textId="77777777" w:rsidR="00E2228C" w:rsidRDefault="00E2228C" w:rsidP="000B457B">
      <w:pPr>
        <w:pStyle w:val="Heading1"/>
        <w:rPr>
          <w:b/>
          <w:bCs/>
        </w:rPr>
      </w:pPr>
      <w:bookmarkStart w:id="5" w:name="_Toc55473305"/>
    </w:p>
    <w:p w14:paraId="602727B0" w14:textId="176B5CF1" w:rsidR="00587CA4" w:rsidRPr="000B457B" w:rsidRDefault="00E2228C" w:rsidP="000B457B">
      <w:pPr>
        <w:pStyle w:val="Heading1"/>
        <w:rPr>
          <w:b/>
          <w:bCs/>
        </w:rPr>
      </w:pPr>
      <w:bookmarkStart w:id="6" w:name="_Toc63162421"/>
      <w:r>
        <w:rPr>
          <w:b/>
          <w:bCs/>
        </w:rPr>
        <w:t>Regional Spending Plan</w:t>
      </w:r>
      <w:bookmarkEnd w:id="5"/>
      <w:bookmarkEnd w:id="6"/>
    </w:p>
    <w:p w14:paraId="592A72A3" w14:textId="16BC78BF" w:rsidR="00587CA4" w:rsidRDefault="00E2228C" w:rsidP="009361DF">
      <w:pPr>
        <w:pStyle w:val="ListParagraph"/>
        <w:numPr>
          <w:ilvl w:val="0"/>
          <w:numId w:val="10"/>
        </w:numPr>
        <w:spacing w:before="240" w:after="0"/>
        <w:ind w:left="360"/>
        <w:contextualSpacing w:val="0"/>
      </w:pPr>
      <w:r>
        <w:rPr>
          <w:bCs/>
        </w:rPr>
        <w:t>Include a regional spending plan that includes administrative cost arrangements between LWBDs and the pooling of funds where applicable.</w:t>
      </w:r>
    </w:p>
    <w:tbl>
      <w:tblPr>
        <w:tblW w:w="0" w:type="auto"/>
        <w:tblInd w:w="520" w:type="dxa"/>
        <w:tblLayout w:type="fixed"/>
        <w:tblLook w:val="0000" w:firstRow="0" w:lastRow="0" w:firstColumn="0" w:lastColumn="0" w:noHBand="0" w:noVBand="0"/>
      </w:tblPr>
      <w:tblGrid>
        <w:gridCol w:w="8312"/>
      </w:tblGrid>
      <w:tr w:rsidR="00587CA4" w14:paraId="6B08050F"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C03DBF2" w14:textId="4419C469" w:rsidR="004C1222" w:rsidRDefault="004C1222" w:rsidP="004C1222">
            <w:pPr>
              <w:spacing w:after="0" w:line="240" w:lineRule="auto"/>
            </w:pPr>
            <w:r>
              <w:t xml:space="preserve">WIOA states the Regional Plan should include “the establishment of administrative cost arrangements, including the pooling of funds for administrative costs, as appropriate, for the region…”  As in the case of regional service strategies as stated above, the region’s three WDB’s have examined the circumstances of the North Country region and created a regional spending plan that includes administrative cost arrangements while pooling funds is not appropriate at this time due to factors highlighted above.  </w:t>
            </w:r>
          </w:p>
          <w:p w14:paraId="2B90C018" w14:textId="77777777" w:rsidR="004C1222" w:rsidRDefault="004C1222" w:rsidP="004C1222">
            <w:pPr>
              <w:spacing w:after="0" w:line="240" w:lineRule="auto"/>
            </w:pPr>
          </w:p>
          <w:p w14:paraId="4C7CCE6D" w14:textId="3257962B" w:rsidR="00587CA4" w:rsidRDefault="004C1222" w:rsidP="004C1222">
            <w:pPr>
              <w:spacing w:after="0" w:line="240" w:lineRule="auto"/>
            </w:pPr>
            <w:r>
              <w:t>Due to differences in the way the three WDB’s deliver services and the variations in the customer base, pooling funds would not address the specific needs of our diverse areas and their populations.  A partnership with other WDBs on a rural Health Care Grant.</w:t>
            </w:r>
          </w:p>
        </w:tc>
      </w:tr>
    </w:tbl>
    <w:p w14:paraId="09FCDFCE" w14:textId="3D6DC33C" w:rsidR="0089157E" w:rsidRPr="000B457B" w:rsidRDefault="00E2228C" w:rsidP="00AA5424">
      <w:pPr>
        <w:pStyle w:val="Heading1"/>
        <w:rPr>
          <w:b/>
          <w:bCs/>
        </w:rPr>
      </w:pPr>
      <w:bookmarkStart w:id="7" w:name="_Toc63162422"/>
      <w:r>
        <w:rPr>
          <w:b/>
          <w:bCs/>
        </w:rPr>
        <w:t>Supportive Services</w:t>
      </w:r>
      <w:bookmarkEnd w:id="7"/>
    </w:p>
    <w:p w14:paraId="45228FEB" w14:textId="415C8AA4" w:rsidR="00291535" w:rsidRDefault="00E2228C" w:rsidP="00AA5424">
      <w:pPr>
        <w:pStyle w:val="ListParagraph"/>
        <w:numPr>
          <w:ilvl w:val="0"/>
          <w:numId w:val="12"/>
        </w:numPr>
        <w:spacing w:before="240" w:after="0"/>
        <w:ind w:left="360"/>
        <w:contextualSpacing w:val="0"/>
      </w:pPr>
      <w:r>
        <w:t xml:space="preserve">Describe how </w:t>
      </w:r>
      <w:r w:rsidR="004B5959">
        <w:t xml:space="preserve">supportive </w:t>
      </w:r>
      <w:r>
        <w:t>services will be coordinated throughout the region.</w:t>
      </w:r>
    </w:p>
    <w:tbl>
      <w:tblPr>
        <w:tblW w:w="0" w:type="auto"/>
        <w:tblInd w:w="520" w:type="dxa"/>
        <w:tblLayout w:type="fixed"/>
        <w:tblLook w:val="0000" w:firstRow="0" w:lastRow="0" w:firstColumn="0" w:lastColumn="0" w:noHBand="0" w:noVBand="0"/>
      </w:tblPr>
      <w:tblGrid>
        <w:gridCol w:w="8312"/>
      </w:tblGrid>
      <w:tr w:rsidR="00291535" w14:paraId="191A1090"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9F7F90B" w14:textId="73A23180" w:rsidR="00291535" w:rsidRDefault="004C1222" w:rsidP="004C1222">
            <w:pPr>
              <w:spacing w:after="0" w:line="240" w:lineRule="auto"/>
            </w:pPr>
            <w:r>
              <w:t xml:space="preserve">WIOA states the Regional Plan should include “the coordination of transportation and other supportive services, as appropriate, for the region.”  As explained above, the three WDB’s have concluded that such coordination is </w:t>
            </w:r>
            <w:r w:rsidRPr="00186A72">
              <w:rPr>
                <w:u w:val="single"/>
              </w:rPr>
              <w:t>not</w:t>
            </w:r>
            <w:r>
              <w:t xml:space="preserve"> appropriate due to the vast geographical size of our region and its sparce population.  The decentralization of our most populated areas (Plattsburgh and Watertown) further complicates the notion of providing a coordinated transportation or supportive services system.</w:t>
            </w:r>
            <w:r w:rsidR="00291535">
              <w:tab/>
            </w:r>
          </w:p>
        </w:tc>
      </w:tr>
    </w:tbl>
    <w:p w14:paraId="45AC85F8" w14:textId="65312EA3" w:rsidR="004B5959" w:rsidRPr="000B457B" w:rsidRDefault="004B5959" w:rsidP="004B5959">
      <w:pPr>
        <w:pStyle w:val="Heading1"/>
        <w:rPr>
          <w:b/>
          <w:bCs/>
        </w:rPr>
      </w:pPr>
      <w:bookmarkStart w:id="8" w:name="_Toc63162423"/>
      <w:r>
        <w:rPr>
          <w:b/>
          <w:bCs/>
        </w:rPr>
        <w:t>Economic Development</w:t>
      </w:r>
      <w:bookmarkEnd w:id="8"/>
    </w:p>
    <w:p w14:paraId="069C6319" w14:textId="772A3CDD" w:rsidR="004B5959" w:rsidRDefault="004B5959" w:rsidP="004B5959">
      <w:pPr>
        <w:pStyle w:val="ListParagraph"/>
        <w:numPr>
          <w:ilvl w:val="0"/>
          <w:numId w:val="15"/>
        </w:numPr>
        <w:spacing w:before="240" w:after="0"/>
        <w:ind w:left="360"/>
        <w:contextualSpacing w:val="0"/>
      </w:pPr>
      <w:r>
        <w:t xml:space="preserve">Describe how </w:t>
      </w:r>
      <w:r w:rsidR="00AB3DF9">
        <w:t xml:space="preserve">economic development </w:t>
      </w:r>
      <w:r>
        <w:t>and workforce investment activities will be coordinated in the region and specific</w:t>
      </w:r>
      <w:r w:rsidR="00AA5424">
        <w:t>ally</w:t>
      </w:r>
      <w:r>
        <w:t xml:space="preserve"> provide detail how continued coordination can further relationships between the </w:t>
      </w:r>
      <w:r w:rsidR="00AA5424">
        <w:t>r</w:t>
      </w:r>
      <w:r>
        <w:t xml:space="preserve">egion and </w:t>
      </w:r>
      <w:r w:rsidR="00AA5424">
        <w:t xml:space="preserve">its </w:t>
      </w:r>
      <w:r>
        <w:t>respective REDC.</w:t>
      </w:r>
    </w:p>
    <w:tbl>
      <w:tblPr>
        <w:tblW w:w="0" w:type="auto"/>
        <w:tblInd w:w="520" w:type="dxa"/>
        <w:tblLayout w:type="fixed"/>
        <w:tblLook w:val="0000" w:firstRow="0" w:lastRow="0" w:firstColumn="0" w:lastColumn="0" w:noHBand="0" w:noVBand="0"/>
      </w:tblPr>
      <w:tblGrid>
        <w:gridCol w:w="8312"/>
      </w:tblGrid>
      <w:tr w:rsidR="004B5959" w14:paraId="6494DCDC" w14:textId="77777777" w:rsidTr="00805721">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9270E5F" w14:textId="77777777" w:rsidR="00612A07" w:rsidRDefault="00612A07" w:rsidP="00612A07">
            <w:pPr>
              <w:spacing w:after="0" w:line="240" w:lineRule="auto"/>
            </w:pPr>
            <w:r>
              <w:lastRenderedPageBreak/>
              <w:t xml:space="preserve">In WIOA, it </w:t>
            </w:r>
            <w:r w:rsidRPr="00186A72">
              <w:t>says the regional plan should include</w:t>
            </w:r>
            <w:r>
              <w:t xml:space="preserve"> “the coordination of services with regional economic development services and providers.”  The three North Country WDBs currently work closely with their local and county-level economic development services and providers.  </w:t>
            </w:r>
          </w:p>
          <w:p w14:paraId="5A5F2DFF" w14:textId="77777777" w:rsidR="00612A07" w:rsidRDefault="00612A07" w:rsidP="00612A07">
            <w:pPr>
              <w:spacing w:after="0" w:line="240" w:lineRule="auto"/>
            </w:pPr>
          </w:p>
          <w:p w14:paraId="10748786" w14:textId="77777777" w:rsidR="00612A07" w:rsidRDefault="00612A07" w:rsidP="00612A07">
            <w:pPr>
              <w:spacing w:after="0" w:line="240" w:lineRule="auto"/>
            </w:pPr>
            <w:r>
              <w:t>Though there are many local and county-level development services and providers, there are few that cover the entire region.  Aside from the NCREDC, there are only three other regional economic development service providers whose service territory covers the same seven counties of the region as the NCREDC.  The three (3) organization are:</w:t>
            </w:r>
          </w:p>
          <w:p w14:paraId="23FFDC45" w14:textId="77777777" w:rsidR="00612A07" w:rsidRDefault="00612A07" w:rsidP="00F84C32">
            <w:pPr>
              <w:pStyle w:val="ListParagraph"/>
            </w:pPr>
          </w:p>
          <w:p w14:paraId="1B2DFF15" w14:textId="77777777" w:rsidR="00612A07" w:rsidRPr="00B9508D" w:rsidRDefault="00612A07" w:rsidP="00612A07">
            <w:pPr>
              <w:pStyle w:val="ListParagraph"/>
              <w:numPr>
                <w:ilvl w:val="0"/>
                <w:numId w:val="36"/>
              </w:numPr>
              <w:spacing w:after="0" w:line="240" w:lineRule="auto"/>
              <w:ind w:left="360"/>
            </w:pPr>
            <w:r w:rsidRPr="00DB727F">
              <w:t xml:space="preserve">CITEC, Inc., the </w:t>
            </w:r>
            <w:r w:rsidRPr="0020058A">
              <w:t xml:space="preserve">Regional Technology Development Organization for the region, </w:t>
            </w:r>
          </w:p>
          <w:p w14:paraId="4E9F8FE3" w14:textId="77777777" w:rsidR="00612A07" w:rsidRDefault="00612A07" w:rsidP="00612A07">
            <w:pPr>
              <w:pStyle w:val="ListParagraph"/>
              <w:numPr>
                <w:ilvl w:val="0"/>
                <w:numId w:val="36"/>
              </w:numPr>
              <w:spacing w:after="0" w:line="240" w:lineRule="auto"/>
              <w:ind w:left="360"/>
            </w:pPr>
            <w:r>
              <w:t>North County Alliance (NCA)</w:t>
            </w:r>
          </w:p>
          <w:p w14:paraId="5A5FC756" w14:textId="77777777" w:rsidR="00612A07" w:rsidRDefault="00612A07" w:rsidP="00612A07">
            <w:pPr>
              <w:pStyle w:val="ListParagraph"/>
              <w:numPr>
                <w:ilvl w:val="0"/>
                <w:numId w:val="36"/>
              </w:numPr>
              <w:spacing w:after="0" w:line="240" w:lineRule="auto"/>
              <w:ind w:left="360"/>
            </w:pPr>
            <w:r>
              <w:t>Workforce Development Institute (WDI)</w:t>
            </w:r>
          </w:p>
          <w:p w14:paraId="50B39E34" w14:textId="77777777" w:rsidR="00612A07" w:rsidRDefault="00612A07" w:rsidP="00F84C32">
            <w:pPr>
              <w:pStyle w:val="ListParagraph"/>
            </w:pPr>
          </w:p>
          <w:p w14:paraId="5B012CE0" w14:textId="77777777" w:rsidR="00612A07" w:rsidRDefault="00612A07" w:rsidP="00612A07">
            <w:pPr>
              <w:spacing w:after="0" w:line="240" w:lineRule="auto"/>
            </w:pPr>
            <w:r w:rsidRPr="00DB727F">
              <w:t xml:space="preserve">CITEC provides </w:t>
            </w:r>
            <w:r w:rsidRPr="0020058A">
              <w:t xml:space="preserve">training for manufacturing clients and all three WDBs use its services when appropriate.  </w:t>
            </w:r>
            <w:r w:rsidRPr="00DB727F">
              <w:t>Meanwhile, the training CITEC does focuses on upgrade and management training and generally there are fewer opportunities to use WIOA funds for such training because the employees to be trained are ineligible for WIOA assistance.  The three WDB’s collaborate with CITEC in other areas.</w:t>
            </w:r>
            <w:r>
              <w:t xml:space="preserve">  </w:t>
            </w:r>
          </w:p>
          <w:p w14:paraId="4EF14711" w14:textId="77777777" w:rsidR="00612A07" w:rsidRDefault="00612A07" w:rsidP="00F84C32">
            <w:pPr>
              <w:pStyle w:val="ListParagraph"/>
            </w:pPr>
          </w:p>
          <w:p w14:paraId="4E1E1E34" w14:textId="77777777" w:rsidR="00612A07" w:rsidRPr="006B2427" w:rsidRDefault="00612A07" w:rsidP="00612A07">
            <w:pPr>
              <w:spacing w:after="0" w:line="240" w:lineRule="auto"/>
            </w:pPr>
            <w:r>
              <w:t xml:space="preserve">The NCA is a seven-county economic development organization which started as a trade association of the region’s economic developers in the mid-1980s.  Since then, it has expanded its membership to include bank and business membership.  </w:t>
            </w:r>
            <w:r w:rsidRPr="00DB727F">
              <w:t>Since the NCA has for the last few years been expanding beyond its trade association roots, it is time for the other two North Country WDB’s to join the organization.  The executive directors of both the Jefferson-Lewis and North Country WDB’s plan to become members of the NCA shortly.</w:t>
            </w:r>
          </w:p>
          <w:p w14:paraId="6BBCDD0C" w14:textId="77777777" w:rsidR="00612A07" w:rsidRDefault="00612A07" w:rsidP="00F84C32">
            <w:pPr>
              <w:pStyle w:val="ListParagraph"/>
            </w:pPr>
          </w:p>
          <w:p w14:paraId="0B066972" w14:textId="77777777" w:rsidR="00612A07" w:rsidRPr="006B2427" w:rsidRDefault="00612A07" w:rsidP="00612A07">
            <w:pPr>
              <w:spacing w:after="0" w:line="240" w:lineRule="auto"/>
            </w:pPr>
            <w:r w:rsidRPr="006B2427">
              <w:t>Lastly, the WDBs also work in close collaboration with WDI as</w:t>
            </w:r>
            <w:r>
              <w:t xml:space="preserve"> it</w:t>
            </w:r>
            <w:r w:rsidRPr="006B2427">
              <w:t xml:space="preserve"> fund</w:t>
            </w:r>
            <w:r>
              <w:t>s</w:t>
            </w:r>
            <w:r w:rsidRPr="006B2427">
              <w:t xml:space="preserve"> training and education activities such as Manufacturing Day, Business and Education Forum, and Adirondack P-Tech.  The WDI also participates in the activities of the NCREDC’s Workforce Committee, </w:t>
            </w:r>
          </w:p>
          <w:p w14:paraId="4C93B418" w14:textId="77777777" w:rsidR="00612A07" w:rsidRDefault="00612A07" w:rsidP="00F84C32">
            <w:pPr>
              <w:pStyle w:val="ListParagraph"/>
            </w:pPr>
          </w:p>
          <w:p w14:paraId="7E1B4042" w14:textId="77777777" w:rsidR="00612A07" w:rsidRPr="006B2427" w:rsidRDefault="00612A07" w:rsidP="00612A07">
            <w:pPr>
              <w:spacing w:after="0" w:line="240" w:lineRule="auto"/>
            </w:pPr>
            <w:r>
              <w:t>E</w:t>
            </w:r>
            <w:r w:rsidRPr="006B2427">
              <w:t>xamples of WDI’s collaboration with the WDBs include:</w:t>
            </w:r>
          </w:p>
          <w:p w14:paraId="767D18B6" w14:textId="77777777" w:rsidR="00612A07" w:rsidRPr="00C31CF8" w:rsidRDefault="00612A07" w:rsidP="00612A07">
            <w:pPr>
              <w:pStyle w:val="ListParagraph"/>
              <w:numPr>
                <w:ilvl w:val="0"/>
                <w:numId w:val="37"/>
              </w:numPr>
              <w:spacing w:after="0" w:line="240" w:lineRule="auto"/>
            </w:pPr>
            <w:r>
              <w:t xml:space="preserve">The Medical Academy of Science and Health (MASH) Camp in </w:t>
            </w:r>
            <w:r w:rsidRPr="00C31CF8">
              <w:t>Jefferson and Lewis counties</w:t>
            </w:r>
          </w:p>
          <w:p w14:paraId="3829FE52" w14:textId="77777777" w:rsidR="00612A07" w:rsidRPr="00C31CF8" w:rsidRDefault="00612A07" w:rsidP="00612A07">
            <w:pPr>
              <w:pStyle w:val="ListParagraph"/>
              <w:numPr>
                <w:ilvl w:val="0"/>
                <w:numId w:val="37"/>
              </w:numPr>
              <w:spacing w:after="0" w:line="240" w:lineRule="auto"/>
            </w:pPr>
            <w:r>
              <w:t xml:space="preserve">Their participation in the Workforce Development Councils </w:t>
            </w:r>
            <w:r w:rsidRPr="00C31CF8">
              <w:t>in Clinton, Essex, Franklin and Hamilton counties; and</w:t>
            </w:r>
          </w:p>
          <w:p w14:paraId="3E0E6189" w14:textId="77777777" w:rsidR="00612A07" w:rsidRDefault="00612A07" w:rsidP="00612A07">
            <w:pPr>
              <w:pStyle w:val="ListParagraph"/>
              <w:numPr>
                <w:ilvl w:val="0"/>
                <w:numId w:val="37"/>
              </w:numPr>
              <w:spacing w:after="0" w:line="240" w:lineRule="auto"/>
            </w:pPr>
            <w:r w:rsidRPr="006B2427">
              <w:t>The WDI’s recent commitment of training funds to help Titan Mining restart the Balmat zinc mine in St. Lawrence County</w:t>
            </w:r>
          </w:p>
          <w:p w14:paraId="48C0A521" w14:textId="6C88CD1B" w:rsidR="00612A07" w:rsidRDefault="00921ACB" w:rsidP="00612A07">
            <w:pPr>
              <w:pStyle w:val="ListParagraph"/>
              <w:numPr>
                <w:ilvl w:val="0"/>
                <w:numId w:val="37"/>
              </w:numPr>
              <w:spacing w:after="0" w:line="240" w:lineRule="auto"/>
            </w:pPr>
            <w:r>
              <w:t>WDI has also worked to get Na</w:t>
            </w:r>
            <w:r w:rsidR="00612A07" w:rsidRPr="00154E5F">
              <w:t>m</w:t>
            </w:r>
            <w:r>
              <w:t>st</w:t>
            </w:r>
            <w:bookmarkStart w:id="9" w:name="_GoBack"/>
            <w:bookmarkEnd w:id="9"/>
            <w:r>
              <w:t>ram</w:t>
            </w:r>
            <w:r w:rsidR="00612A07" w:rsidRPr="00154E5F">
              <w:t>s and USDA grant</w:t>
            </w:r>
            <w:r w:rsidR="00612A07">
              <w:t>s</w:t>
            </w:r>
          </w:p>
          <w:p w14:paraId="218BAD18" w14:textId="77777777" w:rsidR="00612A07" w:rsidRPr="00154E5F" w:rsidRDefault="00612A07" w:rsidP="00612A07">
            <w:pPr>
              <w:pStyle w:val="ListParagraph"/>
              <w:numPr>
                <w:ilvl w:val="0"/>
                <w:numId w:val="37"/>
              </w:numPr>
              <w:spacing w:after="0" w:line="240" w:lineRule="auto"/>
            </w:pPr>
            <w:r>
              <w:t>The Jefferson-Lewis WDB Director is the NCREDC Workforce Committee Co-Chair with the WDI North Country representative acting as the other co-chair.</w:t>
            </w:r>
          </w:p>
          <w:p w14:paraId="52597F00" w14:textId="77777777" w:rsidR="00612A07" w:rsidRDefault="00612A07" w:rsidP="00F84C32">
            <w:pPr>
              <w:pStyle w:val="ListParagraph"/>
            </w:pPr>
          </w:p>
          <w:p w14:paraId="38926E0E" w14:textId="04085E2E" w:rsidR="004B5959" w:rsidRDefault="00612A07" w:rsidP="00612A07">
            <w:pPr>
              <w:pStyle w:val="ListParagraph"/>
              <w:tabs>
                <w:tab w:val="left" w:pos="540"/>
              </w:tabs>
              <w:spacing w:after="0" w:line="240" w:lineRule="auto"/>
              <w:ind w:left="0"/>
            </w:pPr>
            <w:r>
              <w:lastRenderedPageBreak/>
              <w:t xml:space="preserve">In addition to continuing their collaboration with CITEC, WDI, and the NCA, as well as with their local economic development partners, the three WDBs will continue to work with the NCREDC.   As mentioned in the Introduction to this Regional Plan, the three WDB Directors have been involved with the NCREDC.  </w:t>
            </w:r>
            <w:r w:rsidRPr="00DB727F">
              <w:t xml:space="preserve">Two of WDB Directors are on the P3IC </w:t>
            </w:r>
            <w:r w:rsidRPr="0020058A">
              <w:t>C</w:t>
            </w:r>
            <w:r w:rsidRPr="00B9508D">
              <w:t>ommittee and all</w:t>
            </w:r>
            <w:r w:rsidRPr="00DB727F">
              <w:t xml:space="preserve"> three</w:t>
            </w:r>
            <w:r>
              <w:t xml:space="preserve"> (3)</w:t>
            </w:r>
            <w:r w:rsidRPr="00DB727F">
              <w:t xml:space="preserve"> serve on the NCREDC Workforce Committee.</w:t>
            </w:r>
            <w:r>
              <w:t xml:space="preserve">  They will continue to serve on these and other appropriate work groups constituted by the Council.</w:t>
            </w:r>
            <w:r w:rsidR="004B5959">
              <w:tab/>
            </w:r>
          </w:p>
        </w:tc>
      </w:tr>
    </w:tbl>
    <w:p w14:paraId="63AC233C" w14:textId="43585A3A" w:rsidR="00214E9D" w:rsidRPr="000B457B" w:rsidRDefault="00E2228C" w:rsidP="000B457B">
      <w:pPr>
        <w:pStyle w:val="Heading1"/>
        <w:rPr>
          <w:b/>
          <w:bCs/>
        </w:rPr>
      </w:pPr>
      <w:bookmarkStart w:id="10" w:name="_Toc63162424"/>
      <w:r>
        <w:rPr>
          <w:b/>
          <w:bCs/>
        </w:rPr>
        <w:lastRenderedPageBreak/>
        <w:t>Performance</w:t>
      </w:r>
      <w:r w:rsidR="00D02652">
        <w:rPr>
          <w:b/>
          <w:bCs/>
        </w:rPr>
        <w:t xml:space="preserve"> Accountability Measure Negotiation and Reporting Agreement</w:t>
      </w:r>
      <w:bookmarkEnd w:id="10"/>
    </w:p>
    <w:p w14:paraId="5DD0A005" w14:textId="1926E29C" w:rsidR="00214E9D" w:rsidRDefault="00D02652" w:rsidP="00AA5424">
      <w:pPr>
        <w:pStyle w:val="ListParagraph"/>
        <w:numPr>
          <w:ilvl w:val="0"/>
          <w:numId w:val="33"/>
        </w:numPr>
        <w:spacing w:before="240" w:after="0"/>
        <w:contextualSpacing w:val="0"/>
      </w:pPr>
      <w:r>
        <w:t>Include an</w:t>
      </w:r>
      <w:r w:rsidRPr="00D02652">
        <w:t xml:space="preserve"> agreement concerning the Performance Accountability Measure Negotiation and Reporting</w:t>
      </w:r>
      <w:r>
        <w:t>.</w:t>
      </w:r>
      <w:r w:rsidR="00805721">
        <w:t xml:space="preserve">  Performance Accountability Measure Negotiation and Reporting may be negotiated by LWDBs</w:t>
      </w:r>
      <w:r w:rsidR="00F51B0E">
        <w:t xml:space="preserve"> individually,</w:t>
      </w:r>
      <w:r w:rsidR="002E1897">
        <w:t xml:space="preserve"> involving strategies and methods collaborated on at the regional level</w:t>
      </w:r>
      <w:r w:rsidR="00805721">
        <w:t xml:space="preserve">.  If this is the case for </w:t>
      </w:r>
      <w:r w:rsidR="00E413A9">
        <w:t>the</w:t>
      </w:r>
      <w:r w:rsidR="00805721">
        <w:t xml:space="preserve"> region, include a statement that reflects</w:t>
      </w:r>
      <w:r w:rsidR="002E1897">
        <w:t xml:space="preserve"> that</w:t>
      </w:r>
      <w:r w:rsidR="00805721">
        <w:t xml:space="preserve"> the measures </w:t>
      </w:r>
      <w:r w:rsidR="00E413A9">
        <w:t>were</w:t>
      </w:r>
      <w:r w:rsidR="00805721">
        <w:t xml:space="preserve"> negotiated individually</w:t>
      </w:r>
      <w:r w:rsidR="002E1897">
        <w:t xml:space="preserve"> and any collaborative efforts devised and agreed to by </w:t>
      </w:r>
      <w:r w:rsidR="00E413A9">
        <w:t>the</w:t>
      </w:r>
      <w:r w:rsidR="002E1897">
        <w:t xml:space="preserve"> region</w:t>
      </w:r>
      <w:r w:rsidR="00805721">
        <w:t>.</w:t>
      </w:r>
    </w:p>
    <w:tbl>
      <w:tblPr>
        <w:tblW w:w="0" w:type="auto"/>
        <w:tblInd w:w="520" w:type="dxa"/>
        <w:tblLayout w:type="fixed"/>
        <w:tblLook w:val="0000" w:firstRow="0" w:lastRow="0" w:firstColumn="0" w:lastColumn="0" w:noHBand="0" w:noVBand="0"/>
      </w:tblPr>
      <w:tblGrid>
        <w:gridCol w:w="8312"/>
      </w:tblGrid>
      <w:tr w:rsidR="00214E9D" w14:paraId="024FD87E"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4C13A6F" w14:textId="77777777" w:rsidR="00DE4893" w:rsidRDefault="00DE4893" w:rsidP="00DE4893">
            <w:pPr>
              <w:spacing w:after="0" w:line="240" w:lineRule="auto"/>
            </w:pPr>
            <w:r>
              <w:t xml:space="preserve">It is not surprising that the North Country’s three WDB’s are consistent when they say that they have conferred on how they can “collectively negotiate and reach agreement with the Governor on local levels of performance for, and report on, the performance accountability measures described in section 116(c), for local areas or the planning region” and that they determined, given the diversity of the region, the distances and the diffuse labor market, it is not feasible to have  common performance accountability measures that apply to the seven counties.  </w:t>
            </w:r>
          </w:p>
          <w:p w14:paraId="43A64E3C" w14:textId="77777777" w:rsidR="00DE4893" w:rsidRDefault="00DE4893" w:rsidP="00A223C0">
            <w:pPr>
              <w:pStyle w:val="ListParagraph"/>
            </w:pPr>
          </w:p>
          <w:p w14:paraId="487DA87F" w14:textId="77777777" w:rsidR="00DE4893" w:rsidRDefault="00DE4893" w:rsidP="00DE4893">
            <w:pPr>
              <w:spacing w:after="0" w:line="240" w:lineRule="auto"/>
            </w:pPr>
            <w:r>
              <w:t>This Local Plan proposes to develop meaningful accountability data in the North Country by continuing to apply the measures to the three WDB’s as is currently the practice.</w:t>
            </w:r>
            <w:r w:rsidRPr="0074378B">
              <w:t xml:space="preserve"> </w:t>
            </w:r>
            <w:r>
              <w:t xml:space="preserve"> The North Country WDBs choose the WIOA approved option to develop local levels of performance for each of the region’s three (3) local areas and not for the region, as a whole.  These performance measures were recently negotiated separately, but in collaboration, in March of 2020.</w:t>
            </w:r>
          </w:p>
          <w:p w14:paraId="56E102C6" w14:textId="77777777" w:rsidR="00DE4893" w:rsidRDefault="00DE4893" w:rsidP="00A223C0">
            <w:pPr>
              <w:pStyle w:val="ListParagraph"/>
            </w:pPr>
          </w:p>
          <w:p w14:paraId="1C797A80" w14:textId="77777777" w:rsidR="00DE4893" w:rsidRDefault="00DE4893" w:rsidP="00DE4893">
            <w:pPr>
              <w:spacing w:after="0" w:line="240" w:lineRule="auto"/>
            </w:pPr>
            <w:r>
              <w:t xml:space="preserve">The three WDB’s will also continue their long-standing practice of conferring about how benchmarks for the new performance standards prescribed by WIOA should be developed and whether there should be symmetry among them as they are applied to the regions’ WDB’s.  </w:t>
            </w:r>
            <w:r w:rsidRPr="00DB727F">
              <w:t xml:space="preserve">In </w:t>
            </w:r>
            <w:r w:rsidRPr="0020058A">
              <w:t>spite of the WD</w:t>
            </w:r>
            <w:r w:rsidRPr="00DB727F">
              <w:t>B’s insistence that the region is too large, too decentralized</w:t>
            </w:r>
            <w:r>
              <w:t>,</w:t>
            </w:r>
            <w:r w:rsidRPr="00DB727F">
              <w:t xml:space="preserve"> and too diverse to permit them to adopt meaningful regional service strategies, sector initiatives, spending plans, and coordinated support services, the seven counties DO have many things in common when it comes to performance measures.</w:t>
            </w:r>
          </w:p>
          <w:p w14:paraId="75AEE44F" w14:textId="77777777" w:rsidR="00DE4893" w:rsidRDefault="00DE4893" w:rsidP="00A223C0">
            <w:pPr>
              <w:pStyle w:val="ListParagraph"/>
            </w:pPr>
          </w:p>
          <w:p w14:paraId="2797B6E3" w14:textId="6BE23EDF" w:rsidR="00214E9D" w:rsidRDefault="00DE4893" w:rsidP="00DE4893">
            <w:pPr>
              <w:spacing w:after="0" w:line="240" w:lineRule="auto"/>
            </w:pPr>
            <w:r>
              <w:t xml:space="preserve">For key economic benchmarks such as high unemployment, aging workforce, and low household incomes and, in spite of considerable variety across the seven counties, the three WDB’s will continue to consult with each other, recognizing that the region’s counties are intensely rural, and that performance measures and benchmarks designed to fit all regions do not apply fairly or meaningfully to rural counties like those in the North Country. </w:t>
            </w:r>
            <w:r w:rsidR="00214E9D">
              <w:tab/>
            </w:r>
          </w:p>
        </w:tc>
      </w:tr>
    </w:tbl>
    <w:p w14:paraId="47DF4043" w14:textId="77777777" w:rsidR="001C337B" w:rsidRPr="000B457B" w:rsidRDefault="001C337B" w:rsidP="000B457B">
      <w:pPr>
        <w:pStyle w:val="Heading1"/>
        <w:rPr>
          <w:b/>
          <w:bCs/>
        </w:rPr>
      </w:pPr>
      <w:bookmarkStart w:id="11" w:name="_Toc55473311"/>
      <w:bookmarkStart w:id="12" w:name="_Toc63162425"/>
      <w:r w:rsidRPr="000B457B">
        <w:rPr>
          <w:b/>
          <w:bCs/>
        </w:rPr>
        <w:lastRenderedPageBreak/>
        <w:t>Public Comment</w:t>
      </w:r>
      <w:bookmarkEnd w:id="11"/>
      <w:bookmarkEnd w:id="12"/>
    </w:p>
    <w:p w14:paraId="5AB12826" w14:textId="542F4C49" w:rsidR="001C337B" w:rsidRDefault="001C337B" w:rsidP="001C337B">
      <w:pPr>
        <w:pStyle w:val="ListParagraph"/>
        <w:numPr>
          <w:ilvl w:val="0"/>
          <w:numId w:val="26"/>
        </w:numPr>
        <w:spacing w:before="240" w:after="0"/>
        <w:ind w:left="360"/>
        <w:contextualSpacing w:val="0"/>
      </w:pPr>
      <w:r>
        <w:t xml:space="preserve">Describe the process used by the </w:t>
      </w:r>
      <w:r w:rsidR="00D02652">
        <w:t>region</w:t>
      </w:r>
      <w:r>
        <w:t xml:space="preserve"> to provide a period of no more than 30 days for public comment and input into development of the plan by representatives of business, labor organizations, and education prior to submission.</w:t>
      </w:r>
    </w:p>
    <w:tbl>
      <w:tblPr>
        <w:tblW w:w="0" w:type="auto"/>
        <w:tblInd w:w="520" w:type="dxa"/>
        <w:tblLayout w:type="fixed"/>
        <w:tblLook w:val="0000" w:firstRow="0" w:lastRow="0" w:firstColumn="0" w:lastColumn="0" w:noHBand="0" w:noVBand="0"/>
      </w:tblPr>
      <w:tblGrid>
        <w:gridCol w:w="8312"/>
      </w:tblGrid>
      <w:tr w:rsidR="001C337B" w14:paraId="0B85D733"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95E2387" w14:textId="3E54E04D" w:rsidR="001C337B" w:rsidRDefault="00DE4893" w:rsidP="007A2EB4">
            <w:pPr>
              <w:pStyle w:val="ListParagraph"/>
              <w:tabs>
                <w:tab w:val="center" w:pos="4048"/>
              </w:tabs>
              <w:spacing w:before="240" w:after="0" w:line="240" w:lineRule="auto"/>
            </w:pPr>
            <w:r>
              <w:t>Each WDB followed policies and procedures for the public comment period and are on file with each office.</w:t>
            </w:r>
            <w:r w:rsidR="001C337B">
              <w:tab/>
            </w:r>
          </w:p>
        </w:tc>
      </w:tr>
    </w:tbl>
    <w:p w14:paraId="34D6D3A0" w14:textId="43CE934D" w:rsidR="00807D68" w:rsidRDefault="00807D68" w:rsidP="00363D34">
      <w:pPr>
        <w:pStyle w:val="ListParagraph"/>
        <w:spacing w:before="240" w:after="0"/>
        <w:ind w:left="0"/>
        <w:contextualSpacing w:val="0"/>
        <w:rPr>
          <w:b/>
          <w:bCs/>
        </w:rPr>
      </w:pPr>
    </w:p>
    <w:p w14:paraId="66F5C903" w14:textId="77777777" w:rsidR="00807D68" w:rsidRDefault="00807D68">
      <w:pPr>
        <w:rPr>
          <w:b/>
          <w:bCs/>
        </w:rPr>
      </w:pPr>
      <w:r>
        <w:rPr>
          <w:b/>
          <w:bCs/>
        </w:rPr>
        <w:br w:type="page"/>
      </w:r>
    </w:p>
    <w:p w14:paraId="0BFAFB50" w14:textId="77777777" w:rsidR="00807D68" w:rsidRPr="00807D68" w:rsidRDefault="00807D68" w:rsidP="00807D68">
      <w:pPr>
        <w:spacing w:after="0" w:line="240" w:lineRule="auto"/>
        <w:jc w:val="center"/>
        <w:rPr>
          <w:rFonts w:ascii="Calibri" w:eastAsia="Calibri" w:hAnsi="Calibri" w:cs="Times New Roman"/>
          <w:b/>
          <w:bCs/>
          <w:sz w:val="24"/>
          <w:szCs w:val="24"/>
        </w:rPr>
      </w:pPr>
      <w:r w:rsidRPr="00807D68">
        <w:rPr>
          <w:rFonts w:ascii="Calibri" w:eastAsia="Calibri" w:hAnsi="Calibri" w:cs="Times New Roman"/>
          <w:b/>
          <w:bCs/>
          <w:sz w:val="24"/>
          <w:szCs w:val="24"/>
        </w:rPr>
        <w:lastRenderedPageBreak/>
        <w:t>North Country Educational Attainment</w:t>
      </w:r>
    </w:p>
    <w:p w14:paraId="3687DECA" w14:textId="77777777" w:rsidR="00807D68" w:rsidRPr="00807D68" w:rsidRDefault="00807D68" w:rsidP="00807D68">
      <w:pPr>
        <w:spacing w:after="0" w:line="240" w:lineRule="auto"/>
        <w:jc w:val="center"/>
        <w:rPr>
          <w:rFonts w:ascii="Calibri" w:eastAsia="Calibri" w:hAnsi="Calibri" w:cs="Times New Roman"/>
          <w:b/>
          <w:bCs/>
          <w:sz w:val="24"/>
          <w:szCs w:val="24"/>
        </w:rPr>
      </w:pPr>
      <w:r w:rsidRPr="00807D68">
        <w:rPr>
          <w:rFonts w:ascii="Calibri" w:eastAsia="Calibri" w:hAnsi="Calibri" w:cs="Times New Roman"/>
          <w:b/>
          <w:bCs/>
          <w:sz w:val="24"/>
          <w:szCs w:val="24"/>
        </w:rPr>
        <w:t>NORTH COUNTRY REGION</w:t>
      </w:r>
    </w:p>
    <w:p w14:paraId="157AC41A" w14:textId="77777777" w:rsidR="00807D68" w:rsidRPr="00807D68" w:rsidRDefault="00807D68" w:rsidP="00807D68">
      <w:pPr>
        <w:spacing w:after="0" w:line="240" w:lineRule="auto"/>
        <w:jc w:val="center"/>
        <w:rPr>
          <w:rFonts w:ascii="Calibri" w:eastAsia="Calibri" w:hAnsi="Calibri" w:cs="Times New Roman"/>
          <w:b/>
          <w:bCs/>
          <w:sz w:val="24"/>
          <w:szCs w:val="24"/>
        </w:rPr>
      </w:pPr>
      <w:r w:rsidRPr="00807D68">
        <w:rPr>
          <w:rFonts w:ascii="Calibri" w:eastAsia="Calibri" w:hAnsi="Calibri" w:cs="Times New Roman"/>
          <w:b/>
          <w:bCs/>
          <w:sz w:val="24"/>
          <w:szCs w:val="24"/>
        </w:rPr>
        <w:t>April 2021</w:t>
      </w:r>
    </w:p>
    <w:p w14:paraId="233B4745" w14:textId="77777777" w:rsidR="00807D68" w:rsidRPr="00807D68" w:rsidRDefault="00807D68" w:rsidP="00807D68">
      <w:pPr>
        <w:ind w:left="-180"/>
        <w:rPr>
          <w:rFonts w:ascii="Calibri" w:eastAsia="Calibri" w:hAnsi="Calibri" w:cs="Times New Roman"/>
          <w:b/>
          <w:bCs/>
          <w:u w:val="single"/>
        </w:rPr>
      </w:pPr>
      <w:r w:rsidRPr="00807D68">
        <w:rPr>
          <w:rFonts w:ascii="Calibri" w:eastAsia="Calibri" w:hAnsi="Calibri" w:cs="Times New Roman"/>
          <w:b/>
          <w:bCs/>
          <w:u w:val="single"/>
        </w:rPr>
        <w:t>Seven County Educational Attainment:</w:t>
      </w:r>
    </w:p>
    <w:p w14:paraId="3429EAAC" w14:textId="77777777" w:rsidR="00807D68" w:rsidRPr="00807D68" w:rsidRDefault="00807D68" w:rsidP="00807D68">
      <w:pPr>
        <w:ind w:left="-450"/>
        <w:rPr>
          <w:rFonts w:ascii="Calibri" w:eastAsia="Calibri" w:hAnsi="Calibri" w:cs="Times New Roman"/>
        </w:rPr>
      </w:pPr>
      <w:r w:rsidRPr="00807D68">
        <w:rPr>
          <w:rFonts w:ascii="Calibri" w:eastAsia="Calibri" w:hAnsi="Calibri" w:cs="Times New Roman"/>
          <w:noProof/>
        </w:rPr>
        <w:drawing>
          <wp:inline distT="0" distB="0" distL="0" distR="0" wp14:anchorId="796CD317" wp14:editId="5EEB082C">
            <wp:extent cx="6618677" cy="3237212"/>
            <wp:effectExtent l="0" t="0" r="0" b="1905"/>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672451" cy="3263513"/>
                    </a:xfrm>
                    <a:prstGeom prst="rect">
                      <a:avLst/>
                    </a:prstGeom>
                  </pic:spPr>
                </pic:pic>
              </a:graphicData>
            </a:graphic>
          </wp:inline>
        </w:drawing>
      </w:r>
    </w:p>
    <w:p w14:paraId="471CA2B3" w14:textId="77777777" w:rsidR="00807D68" w:rsidRPr="00807D68" w:rsidRDefault="00807D68" w:rsidP="00807D68">
      <w:pPr>
        <w:ind w:left="-180"/>
        <w:rPr>
          <w:rFonts w:ascii="Calibri" w:eastAsia="Calibri" w:hAnsi="Calibri" w:cs="Times New Roman"/>
          <w:b/>
          <w:bCs/>
          <w:u w:val="single"/>
        </w:rPr>
      </w:pPr>
      <w:r w:rsidRPr="00807D68">
        <w:rPr>
          <w:rFonts w:ascii="Calibri" w:eastAsia="Calibri" w:hAnsi="Calibri" w:cs="Times New Roman"/>
          <w:b/>
          <w:bCs/>
          <w:u w:val="single"/>
        </w:rPr>
        <w:t>Jefferson-Lewis Workforce Development Board</w:t>
      </w:r>
    </w:p>
    <w:p w14:paraId="309A7B2E" w14:textId="77777777" w:rsidR="00807D68" w:rsidRPr="00807D68" w:rsidRDefault="00807D68" w:rsidP="00807D68">
      <w:pPr>
        <w:ind w:left="-180"/>
        <w:rPr>
          <w:rFonts w:ascii="Calibri" w:eastAsia="Calibri" w:hAnsi="Calibri" w:cs="Times New Roman"/>
          <w:u w:val="single"/>
        </w:rPr>
      </w:pPr>
      <w:r w:rsidRPr="00807D68">
        <w:rPr>
          <w:rFonts w:ascii="Calibri" w:eastAsia="Calibri" w:hAnsi="Calibri" w:cs="Times New Roman"/>
        </w:rPr>
        <w:t>Jefferson County Educational Attainment:</w:t>
      </w:r>
    </w:p>
    <w:p w14:paraId="3174587F" w14:textId="77777777" w:rsidR="00807D68" w:rsidRPr="00807D68" w:rsidRDefault="00807D68" w:rsidP="00807D68">
      <w:pPr>
        <w:ind w:left="-450" w:right="-540"/>
        <w:rPr>
          <w:rFonts w:ascii="Calibri" w:eastAsia="Calibri" w:hAnsi="Calibri" w:cs="Times New Roman"/>
        </w:rPr>
      </w:pPr>
      <w:r w:rsidRPr="00807D68">
        <w:rPr>
          <w:rFonts w:ascii="Calibri" w:eastAsia="Calibri" w:hAnsi="Calibri" w:cs="Times New Roman"/>
          <w:noProof/>
        </w:rPr>
        <w:drawing>
          <wp:inline distT="0" distB="0" distL="0" distR="0" wp14:anchorId="79A572B2" wp14:editId="5B2E1A63">
            <wp:extent cx="6697345" cy="3275688"/>
            <wp:effectExtent l="0" t="0" r="8255" b="127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717574" cy="3285582"/>
                    </a:xfrm>
                    <a:prstGeom prst="rect">
                      <a:avLst/>
                    </a:prstGeom>
                  </pic:spPr>
                </pic:pic>
              </a:graphicData>
            </a:graphic>
          </wp:inline>
        </w:drawing>
      </w:r>
    </w:p>
    <w:p w14:paraId="5773D03C" w14:textId="77777777" w:rsidR="00807D68" w:rsidRPr="00807D68" w:rsidRDefault="00807D68" w:rsidP="00807D68">
      <w:pPr>
        <w:ind w:left="-90" w:right="-540"/>
        <w:rPr>
          <w:rFonts w:ascii="Calibri" w:eastAsia="Calibri" w:hAnsi="Calibri" w:cs="Times New Roman"/>
        </w:rPr>
      </w:pPr>
      <w:r w:rsidRPr="00807D68">
        <w:rPr>
          <w:rFonts w:ascii="Calibri" w:eastAsia="Calibri" w:hAnsi="Calibri" w:cs="Times New Roman"/>
        </w:rPr>
        <w:lastRenderedPageBreak/>
        <w:t>Lewis County Educational Attainment:</w:t>
      </w:r>
    </w:p>
    <w:p w14:paraId="11086E4F" w14:textId="77777777" w:rsidR="00807D68" w:rsidRPr="00807D68" w:rsidRDefault="00807D68" w:rsidP="00807D68">
      <w:pPr>
        <w:ind w:left="-360" w:right="-540"/>
        <w:rPr>
          <w:rFonts w:ascii="Calibri" w:eastAsia="Calibri" w:hAnsi="Calibri" w:cs="Times New Roman"/>
          <w:u w:val="single"/>
        </w:rPr>
      </w:pPr>
      <w:r w:rsidRPr="00807D68">
        <w:rPr>
          <w:rFonts w:ascii="Calibri" w:eastAsia="Calibri" w:hAnsi="Calibri" w:cs="Times New Roman"/>
          <w:noProof/>
        </w:rPr>
        <w:drawing>
          <wp:inline distT="0" distB="0" distL="0" distR="0" wp14:anchorId="12B72E65" wp14:editId="187B97C9">
            <wp:extent cx="6629400" cy="3242457"/>
            <wp:effectExtent l="0" t="0" r="0" b="0"/>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658242" cy="3256564"/>
                    </a:xfrm>
                    <a:prstGeom prst="rect">
                      <a:avLst/>
                    </a:prstGeom>
                  </pic:spPr>
                </pic:pic>
              </a:graphicData>
            </a:graphic>
          </wp:inline>
        </w:drawing>
      </w:r>
    </w:p>
    <w:p w14:paraId="0B7C7E61" w14:textId="77777777" w:rsidR="00807D68" w:rsidRPr="00807D68" w:rsidRDefault="00807D68" w:rsidP="00807D68">
      <w:pPr>
        <w:ind w:left="-180" w:right="-540"/>
        <w:rPr>
          <w:rFonts w:ascii="Calibri" w:eastAsia="Calibri" w:hAnsi="Calibri" w:cs="Times New Roman"/>
          <w:b/>
          <w:bCs/>
          <w:u w:val="single"/>
        </w:rPr>
      </w:pPr>
      <w:r w:rsidRPr="00807D68">
        <w:rPr>
          <w:rFonts w:ascii="Calibri" w:eastAsia="Calibri" w:hAnsi="Calibri" w:cs="Times New Roman"/>
          <w:b/>
          <w:bCs/>
          <w:u w:val="single"/>
        </w:rPr>
        <w:t>North Country Workforce Development Board</w:t>
      </w:r>
    </w:p>
    <w:p w14:paraId="42091320" w14:textId="77777777" w:rsidR="00807D68" w:rsidRPr="00807D68" w:rsidRDefault="00807D68" w:rsidP="00807D68">
      <w:pPr>
        <w:ind w:left="-180" w:right="-540"/>
        <w:rPr>
          <w:rFonts w:ascii="Calibri" w:eastAsia="Calibri" w:hAnsi="Calibri" w:cs="Times New Roman"/>
        </w:rPr>
      </w:pPr>
      <w:r w:rsidRPr="00807D68">
        <w:rPr>
          <w:rFonts w:ascii="Calibri" w:eastAsia="Calibri" w:hAnsi="Calibri" w:cs="Times New Roman"/>
        </w:rPr>
        <w:t>Clinton County Educational Attainment:</w:t>
      </w:r>
    </w:p>
    <w:p w14:paraId="712F7BD4" w14:textId="77777777" w:rsidR="00807D68" w:rsidRPr="00807D68" w:rsidRDefault="00807D68" w:rsidP="00807D68">
      <w:pPr>
        <w:ind w:left="-450" w:right="-450"/>
        <w:rPr>
          <w:rFonts w:ascii="Calibri" w:eastAsia="Calibri" w:hAnsi="Calibri" w:cs="Times New Roman"/>
        </w:rPr>
      </w:pPr>
      <w:r w:rsidRPr="00807D68">
        <w:rPr>
          <w:rFonts w:ascii="Calibri" w:eastAsia="Calibri" w:hAnsi="Calibri" w:cs="Times New Roman"/>
          <w:noProof/>
        </w:rPr>
        <w:drawing>
          <wp:inline distT="0" distB="0" distL="0" distR="0" wp14:anchorId="587AAB3F" wp14:editId="750876AF">
            <wp:extent cx="6705698" cy="3279775"/>
            <wp:effectExtent l="0" t="0" r="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737201" cy="3295183"/>
                    </a:xfrm>
                    <a:prstGeom prst="rect">
                      <a:avLst/>
                    </a:prstGeom>
                  </pic:spPr>
                </pic:pic>
              </a:graphicData>
            </a:graphic>
          </wp:inline>
        </w:drawing>
      </w:r>
    </w:p>
    <w:p w14:paraId="45AE5F9D" w14:textId="77777777" w:rsidR="00807D68" w:rsidRPr="00807D68" w:rsidRDefault="00807D68" w:rsidP="00807D68">
      <w:pPr>
        <w:ind w:left="-450" w:right="-450"/>
        <w:rPr>
          <w:rFonts w:ascii="Calibri" w:eastAsia="Calibri" w:hAnsi="Calibri" w:cs="Times New Roman"/>
        </w:rPr>
      </w:pPr>
    </w:p>
    <w:p w14:paraId="4D96DD94" w14:textId="77777777" w:rsidR="00807D68" w:rsidRPr="00807D68" w:rsidRDefault="00807D68" w:rsidP="00807D68">
      <w:pPr>
        <w:rPr>
          <w:rFonts w:ascii="Calibri" w:eastAsia="Calibri" w:hAnsi="Calibri" w:cs="Times New Roman"/>
        </w:rPr>
      </w:pPr>
    </w:p>
    <w:p w14:paraId="2FBF64E9" w14:textId="77777777" w:rsidR="00807D68" w:rsidRPr="00807D68" w:rsidRDefault="00807D68" w:rsidP="00807D68">
      <w:pPr>
        <w:ind w:left="-180" w:right="-450"/>
        <w:rPr>
          <w:rFonts w:ascii="Calibri" w:eastAsia="Calibri" w:hAnsi="Calibri" w:cs="Times New Roman"/>
        </w:rPr>
      </w:pPr>
      <w:r w:rsidRPr="00807D68">
        <w:rPr>
          <w:rFonts w:ascii="Calibri" w:eastAsia="Calibri" w:hAnsi="Calibri" w:cs="Times New Roman"/>
        </w:rPr>
        <w:lastRenderedPageBreak/>
        <w:t>Essex County Educational Attainment:</w:t>
      </w:r>
    </w:p>
    <w:p w14:paraId="5C8F18EF" w14:textId="77777777" w:rsidR="00807D68" w:rsidRPr="00807D68" w:rsidRDefault="00807D68" w:rsidP="00807D68">
      <w:pPr>
        <w:ind w:left="-540" w:right="-450"/>
        <w:rPr>
          <w:rFonts w:ascii="Calibri" w:eastAsia="Calibri" w:hAnsi="Calibri" w:cs="Times New Roman"/>
          <w:u w:val="single"/>
        </w:rPr>
      </w:pPr>
      <w:r w:rsidRPr="00807D68">
        <w:rPr>
          <w:rFonts w:ascii="Calibri" w:eastAsia="Calibri" w:hAnsi="Calibri" w:cs="Times New Roman"/>
          <w:noProof/>
        </w:rPr>
        <w:drawing>
          <wp:inline distT="0" distB="0" distL="0" distR="0" wp14:anchorId="60BE1FDE" wp14:editId="78D97112">
            <wp:extent cx="6752911" cy="3302867"/>
            <wp:effectExtent l="0" t="0" r="0"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778836" cy="3315547"/>
                    </a:xfrm>
                    <a:prstGeom prst="rect">
                      <a:avLst/>
                    </a:prstGeom>
                  </pic:spPr>
                </pic:pic>
              </a:graphicData>
            </a:graphic>
          </wp:inline>
        </w:drawing>
      </w:r>
    </w:p>
    <w:p w14:paraId="78BC5DF1" w14:textId="77777777" w:rsidR="00807D68" w:rsidRPr="00807D68" w:rsidRDefault="00807D68" w:rsidP="00807D68">
      <w:pPr>
        <w:ind w:left="-90" w:right="-450"/>
        <w:rPr>
          <w:rFonts w:ascii="Calibri" w:eastAsia="Calibri" w:hAnsi="Calibri" w:cs="Times New Roman"/>
        </w:rPr>
      </w:pPr>
      <w:r w:rsidRPr="00807D68">
        <w:rPr>
          <w:rFonts w:ascii="Calibri" w:eastAsia="Calibri" w:hAnsi="Calibri" w:cs="Times New Roman"/>
        </w:rPr>
        <w:t>Franklin County Educational Attainment:</w:t>
      </w:r>
    </w:p>
    <w:p w14:paraId="6D6CCD93" w14:textId="77777777" w:rsidR="00807D68" w:rsidRPr="00807D68" w:rsidRDefault="00807D68" w:rsidP="00807D68">
      <w:pPr>
        <w:ind w:left="-450" w:right="-450"/>
        <w:rPr>
          <w:rFonts w:ascii="Calibri" w:eastAsia="Calibri" w:hAnsi="Calibri" w:cs="Times New Roman"/>
          <w:u w:val="single"/>
        </w:rPr>
      </w:pPr>
      <w:r w:rsidRPr="00807D68">
        <w:rPr>
          <w:rFonts w:ascii="Calibri" w:eastAsia="Calibri" w:hAnsi="Calibri" w:cs="Times New Roman"/>
          <w:noProof/>
        </w:rPr>
        <w:drawing>
          <wp:inline distT="0" distB="0" distL="0" distR="0" wp14:anchorId="48D3AF2F" wp14:editId="7BF46A6C">
            <wp:extent cx="6727190" cy="3290286"/>
            <wp:effectExtent l="0" t="0" r="0" b="5715"/>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775363" cy="3313848"/>
                    </a:xfrm>
                    <a:prstGeom prst="rect">
                      <a:avLst/>
                    </a:prstGeom>
                  </pic:spPr>
                </pic:pic>
              </a:graphicData>
            </a:graphic>
          </wp:inline>
        </w:drawing>
      </w:r>
    </w:p>
    <w:p w14:paraId="02177751" w14:textId="77777777" w:rsidR="00807D68" w:rsidRPr="00807D68" w:rsidRDefault="00807D68" w:rsidP="00807D68">
      <w:pPr>
        <w:rPr>
          <w:rFonts w:ascii="Calibri" w:eastAsia="Calibri" w:hAnsi="Calibri" w:cs="Times New Roman"/>
        </w:rPr>
      </w:pPr>
      <w:r w:rsidRPr="00807D68">
        <w:rPr>
          <w:rFonts w:ascii="Calibri" w:eastAsia="Calibri" w:hAnsi="Calibri" w:cs="Times New Roman"/>
        </w:rPr>
        <w:br w:type="page"/>
      </w:r>
    </w:p>
    <w:p w14:paraId="59491C17" w14:textId="77777777" w:rsidR="00807D68" w:rsidRPr="00807D68" w:rsidRDefault="00807D68" w:rsidP="00807D68">
      <w:pPr>
        <w:ind w:left="-90" w:right="-450"/>
        <w:rPr>
          <w:rFonts w:ascii="Calibri" w:eastAsia="Calibri" w:hAnsi="Calibri" w:cs="Times New Roman"/>
        </w:rPr>
      </w:pPr>
      <w:r w:rsidRPr="00807D68">
        <w:rPr>
          <w:rFonts w:ascii="Calibri" w:eastAsia="Calibri" w:hAnsi="Calibri" w:cs="Times New Roman"/>
        </w:rPr>
        <w:lastRenderedPageBreak/>
        <w:t>Hamilton County Educational Attainment:</w:t>
      </w:r>
    </w:p>
    <w:p w14:paraId="64C78B00" w14:textId="77777777" w:rsidR="00807D68" w:rsidRPr="00807D68" w:rsidRDefault="00807D68" w:rsidP="00807D68">
      <w:pPr>
        <w:ind w:left="-450" w:right="-450"/>
        <w:rPr>
          <w:rFonts w:ascii="Calibri" w:eastAsia="Calibri" w:hAnsi="Calibri" w:cs="Times New Roman"/>
        </w:rPr>
      </w:pPr>
      <w:r w:rsidRPr="00807D68">
        <w:rPr>
          <w:rFonts w:ascii="Calibri" w:eastAsia="Calibri" w:hAnsi="Calibri" w:cs="Times New Roman"/>
          <w:noProof/>
        </w:rPr>
        <w:drawing>
          <wp:inline distT="0" distB="0" distL="0" distR="0" wp14:anchorId="6AA3B4F5" wp14:editId="2562016F">
            <wp:extent cx="6696075" cy="3275068"/>
            <wp:effectExtent l="0" t="0" r="0" b="1905"/>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796117" cy="3323999"/>
                    </a:xfrm>
                    <a:prstGeom prst="rect">
                      <a:avLst/>
                    </a:prstGeom>
                  </pic:spPr>
                </pic:pic>
              </a:graphicData>
            </a:graphic>
          </wp:inline>
        </w:drawing>
      </w:r>
    </w:p>
    <w:p w14:paraId="562C7E61" w14:textId="77777777" w:rsidR="00807D68" w:rsidRPr="00807D68" w:rsidRDefault="00807D68" w:rsidP="00807D68">
      <w:pPr>
        <w:ind w:left="-180" w:right="-450"/>
        <w:rPr>
          <w:rFonts w:ascii="Calibri" w:eastAsia="Calibri" w:hAnsi="Calibri" w:cs="Times New Roman"/>
          <w:b/>
          <w:bCs/>
          <w:u w:val="single"/>
        </w:rPr>
      </w:pPr>
      <w:r w:rsidRPr="00807D68">
        <w:rPr>
          <w:rFonts w:ascii="Calibri" w:eastAsia="Calibri" w:hAnsi="Calibri" w:cs="Times New Roman"/>
          <w:b/>
          <w:bCs/>
          <w:u w:val="single"/>
        </w:rPr>
        <w:t>St. Lawrence County Workforce Development Board</w:t>
      </w:r>
    </w:p>
    <w:p w14:paraId="03F920FD" w14:textId="77777777" w:rsidR="00807D68" w:rsidRPr="00807D68" w:rsidRDefault="00807D68" w:rsidP="00807D68">
      <w:pPr>
        <w:ind w:left="-180" w:right="-450"/>
        <w:rPr>
          <w:rFonts w:ascii="Calibri" w:eastAsia="Calibri" w:hAnsi="Calibri" w:cs="Times New Roman"/>
        </w:rPr>
      </w:pPr>
      <w:r w:rsidRPr="00807D68">
        <w:rPr>
          <w:rFonts w:ascii="Calibri" w:eastAsia="Calibri" w:hAnsi="Calibri" w:cs="Times New Roman"/>
        </w:rPr>
        <w:t>St. Lawrence County Educational Attainment:</w:t>
      </w:r>
    </w:p>
    <w:p w14:paraId="077343E9" w14:textId="77777777" w:rsidR="00807D68" w:rsidRPr="00807D68" w:rsidRDefault="00807D68" w:rsidP="00807D68">
      <w:pPr>
        <w:ind w:left="-540" w:right="-450"/>
        <w:rPr>
          <w:rFonts w:ascii="Calibri" w:eastAsia="Calibri" w:hAnsi="Calibri" w:cs="Times New Roman"/>
          <w:u w:val="single"/>
        </w:rPr>
      </w:pPr>
      <w:r w:rsidRPr="00807D68">
        <w:rPr>
          <w:rFonts w:ascii="Calibri" w:eastAsia="Calibri" w:hAnsi="Calibri" w:cs="Times New Roman"/>
          <w:noProof/>
        </w:rPr>
        <w:drawing>
          <wp:inline distT="0" distB="0" distL="0" distR="0" wp14:anchorId="3BDDBE6A" wp14:editId="44DEC019">
            <wp:extent cx="6796580" cy="3324225"/>
            <wp:effectExtent l="0" t="0" r="4445" b="0"/>
            <wp:docPr id="11" name="Picture 1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813839" cy="3332667"/>
                    </a:xfrm>
                    <a:prstGeom prst="rect">
                      <a:avLst/>
                    </a:prstGeom>
                  </pic:spPr>
                </pic:pic>
              </a:graphicData>
            </a:graphic>
          </wp:inline>
        </w:drawing>
      </w:r>
      <w:r w:rsidRPr="00807D68">
        <w:rPr>
          <w:rFonts w:ascii="Calibri" w:eastAsia="Calibri" w:hAnsi="Calibri" w:cs="Times New Roman"/>
          <w:u w:val="single"/>
        </w:rPr>
        <w:br w:type="page"/>
      </w:r>
    </w:p>
    <w:sectPr w:rsidR="00807D68" w:rsidRPr="00807D68" w:rsidSect="00D945BE">
      <w:footerReference w:type="default" r:id="rId18"/>
      <w:pgSz w:w="12240" w:h="15840"/>
      <w:pgMar w:top="1440" w:right="1440" w:bottom="1008" w:left="1440" w:header="72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DAA4E" w14:textId="77777777" w:rsidR="001A1EA2" w:rsidRDefault="001A1EA2" w:rsidP="00D057E1">
      <w:pPr>
        <w:spacing w:after="0" w:line="240" w:lineRule="auto"/>
      </w:pPr>
      <w:r>
        <w:separator/>
      </w:r>
    </w:p>
  </w:endnote>
  <w:endnote w:type="continuationSeparator" w:id="0">
    <w:p w14:paraId="784C5795" w14:textId="77777777" w:rsidR="001A1EA2" w:rsidRDefault="001A1EA2" w:rsidP="00D05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589B7" w14:textId="75FFD2B0" w:rsidR="006C0950" w:rsidRDefault="006C0950">
    <w:pPr>
      <w:pStyle w:val="Footer"/>
    </w:pPr>
    <w:r>
      <w:rPr>
        <w:sz w:val="20"/>
        <w:szCs w:val="20"/>
      </w:rPr>
      <w:fldChar w:fldCharType="begin"/>
    </w:r>
    <w:r>
      <w:rPr>
        <w:sz w:val="20"/>
        <w:szCs w:val="20"/>
      </w:rPr>
      <w:instrText xml:space="preserve"> PAGE  \* Arabic  \* MERGEFORMAT </w:instrText>
    </w:r>
    <w:r>
      <w:rPr>
        <w:sz w:val="20"/>
        <w:szCs w:val="20"/>
      </w:rPr>
      <w:fldChar w:fldCharType="separate"/>
    </w:r>
    <w:r w:rsidR="00921ACB">
      <w:rPr>
        <w:noProof/>
        <w:sz w:val="20"/>
        <w:szCs w:val="20"/>
      </w:rPr>
      <w:t>14</w:t>
    </w:r>
    <w:r>
      <w:rPr>
        <w:sz w:val="20"/>
        <w:szCs w:val="20"/>
      </w:rPr>
      <w:fldChar w:fldCharType="end"/>
    </w:r>
    <w:r>
      <w:ptab w:relativeTo="margin" w:alignment="center" w:leader="none"/>
    </w:r>
    <w:r w:rsidRPr="005B0625">
      <w:rPr>
        <w:noProof/>
      </w:rPr>
      <w:drawing>
        <wp:inline distT="0" distB="0" distL="0" distR="0" wp14:anchorId="2B2E74D6" wp14:editId="3044F1FC">
          <wp:extent cx="2514600" cy="522062"/>
          <wp:effectExtent l="0" t="0" r="0" b="0"/>
          <wp:docPr id="42" name="Picture 42" descr="C:\Users\USERLT\AppData\Local\Microsoft\Windows\Temporary Internet Files\Content.Outlook\6FI416O4\YOUR DOL Blue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LT\AppData\Local\Microsoft\Windows\Temporary Internet Files\Content.Outlook\6FI416O4\YOUR DOL Blue (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8131" cy="531100"/>
                  </a:xfrm>
                  <a:prstGeom prst="rect">
                    <a:avLst/>
                  </a:prstGeom>
                  <a:noFill/>
                  <a:ln>
                    <a:noFill/>
                  </a:ln>
                </pic:spPr>
              </pic:pic>
            </a:graphicData>
          </a:graphic>
        </wp:inline>
      </w:drawing>
    </w:r>
    <w:r w:rsidRPr="00D057E1">
      <w:rPr>
        <w:sz w:val="20"/>
        <w:szCs w:val="20"/>
      </w:rPr>
      <w:ptab w:relativeTo="margin" w:alignment="right" w:leader="none"/>
    </w:r>
    <w:r>
      <w:rPr>
        <w:sz w:val="20"/>
        <w:szCs w:val="20"/>
      </w:rPr>
      <w:t>Regional</w:t>
    </w:r>
    <w:r w:rsidRPr="00D057E1">
      <w:rPr>
        <w:sz w:val="20"/>
        <w:szCs w:val="20"/>
      </w:rPr>
      <w:t xml:space="preserve"> Plan Template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54C8F" w14:textId="77777777" w:rsidR="001A1EA2" w:rsidRDefault="001A1EA2" w:rsidP="00D057E1">
      <w:pPr>
        <w:spacing w:after="0" w:line="240" w:lineRule="auto"/>
      </w:pPr>
      <w:r>
        <w:separator/>
      </w:r>
    </w:p>
  </w:footnote>
  <w:footnote w:type="continuationSeparator" w:id="0">
    <w:p w14:paraId="1BD4468E" w14:textId="77777777" w:rsidR="001A1EA2" w:rsidRDefault="001A1EA2" w:rsidP="00D057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34A30"/>
    <w:multiLevelType w:val="hybridMultilevel"/>
    <w:tmpl w:val="7FD2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91777"/>
    <w:multiLevelType w:val="hybridMultilevel"/>
    <w:tmpl w:val="76A038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26608"/>
    <w:multiLevelType w:val="hybridMultilevel"/>
    <w:tmpl w:val="E0C69A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D3A82"/>
    <w:multiLevelType w:val="hybridMultilevel"/>
    <w:tmpl w:val="7CCE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1585E"/>
    <w:multiLevelType w:val="hybridMultilevel"/>
    <w:tmpl w:val="602A92D8"/>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94545"/>
    <w:multiLevelType w:val="hybridMultilevel"/>
    <w:tmpl w:val="D2E8B9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77435D"/>
    <w:multiLevelType w:val="hybridMultilevel"/>
    <w:tmpl w:val="D2E8B9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A456B"/>
    <w:multiLevelType w:val="hybridMultilevel"/>
    <w:tmpl w:val="9884AF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4250F"/>
    <w:multiLevelType w:val="hybridMultilevel"/>
    <w:tmpl w:val="CF6AA5D6"/>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F6683"/>
    <w:multiLevelType w:val="hybridMultilevel"/>
    <w:tmpl w:val="EA043C7C"/>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01807"/>
    <w:multiLevelType w:val="hybridMultilevel"/>
    <w:tmpl w:val="FAD8E0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6455D"/>
    <w:multiLevelType w:val="hybridMultilevel"/>
    <w:tmpl w:val="D2CC8A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2415F"/>
    <w:multiLevelType w:val="hybridMultilevel"/>
    <w:tmpl w:val="C854D3F2"/>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A69D8"/>
    <w:multiLevelType w:val="hybridMultilevel"/>
    <w:tmpl w:val="8E68B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93808"/>
    <w:multiLevelType w:val="hybridMultilevel"/>
    <w:tmpl w:val="C18E1C5C"/>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34B51"/>
    <w:multiLevelType w:val="hybridMultilevel"/>
    <w:tmpl w:val="F2122A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A2422"/>
    <w:multiLevelType w:val="hybridMultilevel"/>
    <w:tmpl w:val="8AC08E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7356F8"/>
    <w:multiLevelType w:val="hybridMultilevel"/>
    <w:tmpl w:val="FFDC64D0"/>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514F67"/>
    <w:multiLevelType w:val="hybridMultilevel"/>
    <w:tmpl w:val="ED0EBCC4"/>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C5E78"/>
    <w:multiLevelType w:val="hybridMultilevel"/>
    <w:tmpl w:val="C19E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C68BE"/>
    <w:multiLevelType w:val="hybridMultilevel"/>
    <w:tmpl w:val="00C49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EB283F"/>
    <w:multiLevelType w:val="hybridMultilevel"/>
    <w:tmpl w:val="01069B52"/>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25739"/>
    <w:multiLevelType w:val="hybridMultilevel"/>
    <w:tmpl w:val="D1F2C5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F84ED9"/>
    <w:multiLevelType w:val="hybridMultilevel"/>
    <w:tmpl w:val="C18E1C5C"/>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D7920"/>
    <w:multiLevelType w:val="hybridMultilevel"/>
    <w:tmpl w:val="0802B2B2"/>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3F68FF"/>
    <w:multiLevelType w:val="hybridMultilevel"/>
    <w:tmpl w:val="3B36E6E2"/>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C76689"/>
    <w:multiLevelType w:val="hybridMultilevel"/>
    <w:tmpl w:val="C714E8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6B3DD7"/>
    <w:multiLevelType w:val="hybridMultilevel"/>
    <w:tmpl w:val="6B424C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C917A3"/>
    <w:multiLevelType w:val="hybridMultilevel"/>
    <w:tmpl w:val="FAC4C1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2A4F3F"/>
    <w:multiLevelType w:val="hybridMultilevel"/>
    <w:tmpl w:val="E23EF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BF5A35"/>
    <w:multiLevelType w:val="hybridMultilevel"/>
    <w:tmpl w:val="DE4A63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E44680"/>
    <w:multiLevelType w:val="hybridMultilevel"/>
    <w:tmpl w:val="0C128B2C"/>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405937"/>
    <w:multiLevelType w:val="hybridMultilevel"/>
    <w:tmpl w:val="EFECE0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751EAE"/>
    <w:multiLevelType w:val="hybridMultilevel"/>
    <w:tmpl w:val="E98A0E84"/>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3B06CE"/>
    <w:multiLevelType w:val="hybridMultilevel"/>
    <w:tmpl w:val="53428B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DA53CA"/>
    <w:multiLevelType w:val="hybridMultilevel"/>
    <w:tmpl w:val="F2122A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B309B8"/>
    <w:multiLevelType w:val="hybridMultilevel"/>
    <w:tmpl w:val="EEDE7D52"/>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33"/>
  </w:num>
  <w:num w:numId="4">
    <w:abstractNumId w:val="18"/>
  </w:num>
  <w:num w:numId="5">
    <w:abstractNumId w:val="9"/>
  </w:num>
  <w:num w:numId="6">
    <w:abstractNumId w:val="22"/>
  </w:num>
  <w:num w:numId="7">
    <w:abstractNumId w:val="25"/>
  </w:num>
  <w:num w:numId="8">
    <w:abstractNumId w:val="34"/>
  </w:num>
  <w:num w:numId="9">
    <w:abstractNumId w:val="4"/>
  </w:num>
  <w:num w:numId="10">
    <w:abstractNumId w:val="11"/>
  </w:num>
  <w:num w:numId="11">
    <w:abstractNumId w:val="36"/>
  </w:num>
  <w:num w:numId="12">
    <w:abstractNumId w:val="1"/>
  </w:num>
  <w:num w:numId="13">
    <w:abstractNumId w:val="12"/>
  </w:num>
  <w:num w:numId="14">
    <w:abstractNumId w:val="21"/>
  </w:num>
  <w:num w:numId="15">
    <w:abstractNumId w:val="6"/>
  </w:num>
  <w:num w:numId="16">
    <w:abstractNumId w:val="8"/>
  </w:num>
  <w:num w:numId="17">
    <w:abstractNumId w:val="28"/>
  </w:num>
  <w:num w:numId="18">
    <w:abstractNumId w:val="24"/>
  </w:num>
  <w:num w:numId="19">
    <w:abstractNumId w:val="31"/>
  </w:num>
  <w:num w:numId="20">
    <w:abstractNumId w:val="23"/>
  </w:num>
  <w:num w:numId="21">
    <w:abstractNumId w:val="13"/>
  </w:num>
  <w:num w:numId="22">
    <w:abstractNumId w:val="26"/>
  </w:num>
  <w:num w:numId="23">
    <w:abstractNumId w:val="16"/>
  </w:num>
  <w:num w:numId="24">
    <w:abstractNumId w:val="14"/>
  </w:num>
  <w:num w:numId="25">
    <w:abstractNumId w:val="35"/>
  </w:num>
  <w:num w:numId="26">
    <w:abstractNumId w:val="15"/>
  </w:num>
  <w:num w:numId="27">
    <w:abstractNumId w:val="19"/>
  </w:num>
  <w:num w:numId="28">
    <w:abstractNumId w:val="27"/>
  </w:num>
  <w:num w:numId="29">
    <w:abstractNumId w:val="20"/>
  </w:num>
  <w:num w:numId="30">
    <w:abstractNumId w:val="3"/>
  </w:num>
  <w:num w:numId="31">
    <w:abstractNumId w:val="32"/>
  </w:num>
  <w:num w:numId="32">
    <w:abstractNumId w:val="7"/>
  </w:num>
  <w:num w:numId="33">
    <w:abstractNumId w:val="5"/>
  </w:num>
  <w:num w:numId="34">
    <w:abstractNumId w:val="29"/>
  </w:num>
  <w:num w:numId="35">
    <w:abstractNumId w:val="10"/>
  </w:num>
  <w:num w:numId="36">
    <w:abstractNumId w:val="30"/>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7E1"/>
    <w:rsid w:val="00022F46"/>
    <w:rsid w:val="0003243B"/>
    <w:rsid w:val="00067CA0"/>
    <w:rsid w:val="000858EE"/>
    <w:rsid w:val="0009278E"/>
    <w:rsid w:val="000955F4"/>
    <w:rsid w:val="000B457B"/>
    <w:rsid w:val="000C330F"/>
    <w:rsid w:val="000E0A52"/>
    <w:rsid w:val="000E5C39"/>
    <w:rsid w:val="000E6958"/>
    <w:rsid w:val="00144D68"/>
    <w:rsid w:val="00176A1D"/>
    <w:rsid w:val="00192FAF"/>
    <w:rsid w:val="001A1EA2"/>
    <w:rsid w:val="001C0B67"/>
    <w:rsid w:val="001C337B"/>
    <w:rsid w:val="00212E5F"/>
    <w:rsid w:val="00214E9D"/>
    <w:rsid w:val="00251EAC"/>
    <w:rsid w:val="00276FE3"/>
    <w:rsid w:val="00291535"/>
    <w:rsid w:val="002E1897"/>
    <w:rsid w:val="00301DFD"/>
    <w:rsid w:val="00305CD1"/>
    <w:rsid w:val="0030756F"/>
    <w:rsid w:val="00334ADE"/>
    <w:rsid w:val="00356619"/>
    <w:rsid w:val="00363D34"/>
    <w:rsid w:val="00366FE5"/>
    <w:rsid w:val="00381B69"/>
    <w:rsid w:val="003C0280"/>
    <w:rsid w:val="003D306B"/>
    <w:rsid w:val="004023C1"/>
    <w:rsid w:val="00411A98"/>
    <w:rsid w:val="00420B15"/>
    <w:rsid w:val="00446989"/>
    <w:rsid w:val="00486386"/>
    <w:rsid w:val="004A7377"/>
    <w:rsid w:val="004B5959"/>
    <w:rsid w:val="004C1222"/>
    <w:rsid w:val="004D0588"/>
    <w:rsid w:val="004D5F42"/>
    <w:rsid w:val="00502D71"/>
    <w:rsid w:val="005301A7"/>
    <w:rsid w:val="0055182D"/>
    <w:rsid w:val="00574048"/>
    <w:rsid w:val="00587CA4"/>
    <w:rsid w:val="005912D0"/>
    <w:rsid w:val="005A0028"/>
    <w:rsid w:val="00612A07"/>
    <w:rsid w:val="00653157"/>
    <w:rsid w:val="006543A5"/>
    <w:rsid w:val="00671AC5"/>
    <w:rsid w:val="00685B1D"/>
    <w:rsid w:val="006C0950"/>
    <w:rsid w:val="006E02A4"/>
    <w:rsid w:val="006F2763"/>
    <w:rsid w:val="00714BDA"/>
    <w:rsid w:val="007773E8"/>
    <w:rsid w:val="007A2EB4"/>
    <w:rsid w:val="007F127F"/>
    <w:rsid w:val="007F15DA"/>
    <w:rsid w:val="00805721"/>
    <w:rsid w:val="00807D68"/>
    <w:rsid w:val="0081657B"/>
    <w:rsid w:val="00860873"/>
    <w:rsid w:val="0086320D"/>
    <w:rsid w:val="00874E1A"/>
    <w:rsid w:val="00890DF2"/>
    <w:rsid w:val="0089157E"/>
    <w:rsid w:val="008A6885"/>
    <w:rsid w:val="008A77D0"/>
    <w:rsid w:val="008B0B33"/>
    <w:rsid w:val="008B1FE8"/>
    <w:rsid w:val="00921ACB"/>
    <w:rsid w:val="009361DF"/>
    <w:rsid w:val="0097023A"/>
    <w:rsid w:val="0098297B"/>
    <w:rsid w:val="00985C8D"/>
    <w:rsid w:val="009A1CB1"/>
    <w:rsid w:val="009E0A8A"/>
    <w:rsid w:val="009E15C1"/>
    <w:rsid w:val="00A04893"/>
    <w:rsid w:val="00A05C22"/>
    <w:rsid w:val="00A1569A"/>
    <w:rsid w:val="00A17528"/>
    <w:rsid w:val="00A223C0"/>
    <w:rsid w:val="00A25D7A"/>
    <w:rsid w:val="00A425DD"/>
    <w:rsid w:val="00A623DA"/>
    <w:rsid w:val="00A66707"/>
    <w:rsid w:val="00A66965"/>
    <w:rsid w:val="00A75D44"/>
    <w:rsid w:val="00AA5424"/>
    <w:rsid w:val="00AB087E"/>
    <w:rsid w:val="00AB3DF9"/>
    <w:rsid w:val="00AB4DB9"/>
    <w:rsid w:val="00AB5821"/>
    <w:rsid w:val="00AD2E68"/>
    <w:rsid w:val="00AD58E1"/>
    <w:rsid w:val="00AE481B"/>
    <w:rsid w:val="00B06DAD"/>
    <w:rsid w:val="00B331EF"/>
    <w:rsid w:val="00B65958"/>
    <w:rsid w:val="00B86A5C"/>
    <w:rsid w:val="00BC2648"/>
    <w:rsid w:val="00BD604E"/>
    <w:rsid w:val="00C00455"/>
    <w:rsid w:val="00C215BF"/>
    <w:rsid w:val="00C249DD"/>
    <w:rsid w:val="00C51351"/>
    <w:rsid w:val="00CB7F8D"/>
    <w:rsid w:val="00CC4B65"/>
    <w:rsid w:val="00CE4732"/>
    <w:rsid w:val="00CE48F8"/>
    <w:rsid w:val="00CE7528"/>
    <w:rsid w:val="00D02652"/>
    <w:rsid w:val="00D04770"/>
    <w:rsid w:val="00D057E1"/>
    <w:rsid w:val="00D14D30"/>
    <w:rsid w:val="00D66535"/>
    <w:rsid w:val="00D8015A"/>
    <w:rsid w:val="00D945BE"/>
    <w:rsid w:val="00DA7C7F"/>
    <w:rsid w:val="00DB06E4"/>
    <w:rsid w:val="00DC65A0"/>
    <w:rsid w:val="00DE2C88"/>
    <w:rsid w:val="00DE4893"/>
    <w:rsid w:val="00E2228C"/>
    <w:rsid w:val="00E413A9"/>
    <w:rsid w:val="00E66C25"/>
    <w:rsid w:val="00E66F49"/>
    <w:rsid w:val="00EC286F"/>
    <w:rsid w:val="00EC43D7"/>
    <w:rsid w:val="00ED0A4C"/>
    <w:rsid w:val="00ED7916"/>
    <w:rsid w:val="00EF128A"/>
    <w:rsid w:val="00EF4D16"/>
    <w:rsid w:val="00EF6243"/>
    <w:rsid w:val="00F51B0E"/>
    <w:rsid w:val="00F84C32"/>
    <w:rsid w:val="00FA19DF"/>
    <w:rsid w:val="00FD0950"/>
    <w:rsid w:val="00FD69CD"/>
    <w:rsid w:val="00FF1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7E1B"/>
  <w15:chartTrackingRefBased/>
  <w15:docId w15:val="{6BAA585A-AE95-4CD9-ABCD-4DA32433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DF"/>
  </w:style>
  <w:style w:type="paragraph" w:styleId="Heading1">
    <w:name w:val="heading 1"/>
    <w:basedOn w:val="Normal"/>
    <w:next w:val="Normal"/>
    <w:link w:val="Heading1Char"/>
    <w:uiPriority w:val="9"/>
    <w:qFormat/>
    <w:rsid w:val="000B457B"/>
    <w:pPr>
      <w:keepNext/>
      <w:keepLines/>
      <w:spacing w:before="240" w:after="0"/>
      <w:outlineLvl w:val="0"/>
    </w:pPr>
    <w:rPr>
      <w:rFonts w:eastAsiaTheme="majorEastAsia" w:cstheme="minorHAns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7E1"/>
  </w:style>
  <w:style w:type="paragraph" w:styleId="Footer">
    <w:name w:val="footer"/>
    <w:basedOn w:val="Normal"/>
    <w:link w:val="FooterChar"/>
    <w:uiPriority w:val="99"/>
    <w:unhideWhenUsed/>
    <w:rsid w:val="00D05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7E1"/>
  </w:style>
  <w:style w:type="character" w:styleId="Hyperlink">
    <w:name w:val="Hyperlink"/>
    <w:uiPriority w:val="99"/>
    <w:rsid w:val="00D057E1"/>
    <w:rPr>
      <w:rFonts w:cs="Times New Roman"/>
      <w:color w:val="0000FF"/>
      <w:u w:val="single"/>
    </w:rPr>
  </w:style>
  <w:style w:type="paragraph" w:styleId="ListParagraph">
    <w:name w:val="List Paragraph"/>
    <w:basedOn w:val="Normal"/>
    <w:uiPriority w:val="34"/>
    <w:qFormat/>
    <w:rsid w:val="00B06DAD"/>
    <w:pPr>
      <w:ind w:left="720"/>
      <w:contextualSpacing/>
    </w:pPr>
  </w:style>
  <w:style w:type="character" w:customStyle="1" w:styleId="UnresolvedMention1">
    <w:name w:val="Unresolved Mention1"/>
    <w:basedOn w:val="DefaultParagraphFont"/>
    <w:uiPriority w:val="99"/>
    <w:semiHidden/>
    <w:unhideWhenUsed/>
    <w:rsid w:val="00EF6243"/>
    <w:rPr>
      <w:color w:val="605E5C"/>
      <w:shd w:val="clear" w:color="auto" w:fill="E1DFDD"/>
    </w:rPr>
  </w:style>
  <w:style w:type="character" w:styleId="FollowedHyperlink">
    <w:name w:val="FollowedHyperlink"/>
    <w:basedOn w:val="DefaultParagraphFont"/>
    <w:uiPriority w:val="99"/>
    <w:semiHidden/>
    <w:unhideWhenUsed/>
    <w:rsid w:val="00EF6243"/>
    <w:rPr>
      <w:color w:val="954F72" w:themeColor="followedHyperlink"/>
      <w:u w:val="single"/>
    </w:rPr>
  </w:style>
  <w:style w:type="character" w:styleId="CommentReference">
    <w:name w:val="annotation reference"/>
    <w:basedOn w:val="DefaultParagraphFont"/>
    <w:uiPriority w:val="99"/>
    <w:semiHidden/>
    <w:unhideWhenUsed/>
    <w:rsid w:val="004023C1"/>
    <w:rPr>
      <w:sz w:val="16"/>
      <w:szCs w:val="16"/>
    </w:rPr>
  </w:style>
  <w:style w:type="paragraph" w:styleId="CommentText">
    <w:name w:val="annotation text"/>
    <w:basedOn w:val="Normal"/>
    <w:link w:val="CommentTextChar"/>
    <w:uiPriority w:val="99"/>
    <w:semiHidden/>
    <w:unhideWhenUsed/>
    <w:rsid w:val="004023C1"/>
    <w:pPr>
      <w:spacing w:line="240" w:lineRule="auto"/>
    </w:pPr>
    <w:rPr>
      <w:sz w:val="20"/>
      <w:szCs w:val="20"/>
    </w:rPr>
  </w:style>
  <w:style w:type="character" w:customStyle="1" w:styleId="CommentTextChar">
    <w:name w:val="Comment Text Char"/>
    <w:basedOn w:val="DefaultParagraphFont"/>
    <w:link w:val="CommentText"/>
    <w:uiPriority w:val="99"/>
    <w:semiHidden/>
    <w:rsid w:val="004023C1"/>
    <w:rPr>
      <w:sz w:val="20"/>
      <w:szCs w:val="20"/>
    </w:rPr>
  </w:style>
  <w:style w:type="paragraph" w:styleId="CommentSubject">
    <w:name w:val="annotation subject"/>
    <w:basedOn w:val="CommentText"/>
    <w:next w:val="CommentText"/>
    <w:link w:val="CommentSubjectChar"/>
    <w:uiPriority w:val="99"/>
    <w:semiHidden/>
    <w:unhideWhenUsed/>
    <w:rsid w:val="004023C1"/>
    <w:rPr>
      <w:b/>
      <w:bCs/>
    </w:rPr>
  </w:style>
  <w:style w:type="character" w:customStyle="1" w:styleId="CommentSubjectChar">
    <w:name w:val="Comment Subject Char"/>
    <w:basedOn w:val="CommentTextChar"/>
    <w:link w:val="CommentSubject"/>
    <w:uiPriority w:val="99"/>
    <w:semiHidden/>
    <w:rsid w:val="004023C1"/>
    <w:rPr>
      <w:b/>
      <w:bCs/>
      <w:sz w:val="20"/>
      <w:szCs w:val="20"/>
    </w:rPr>
  </w:style>
  <w:style w:type="paragraph" w:styleId="BalloonText">
    <w:name w:val="Balloon Text"/>
    <w:basedOn w:val="Normal"/>
    <w:link w:val="BalloonTextChar"/>
    <w:uiPriority w:val="99"/>
    <w:semiHidden/>
    <w:unhideWhenUsed/>
    <w:rsid w:val="004023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3C1"/>
    <w:rPr>
      <w:rFonts w:ascii="Segoe UI" w:hAnsi="Segoe UI" w:cs="Segoe UI"/>
      <w:sz w:val="18"/>
      <w:szCs w:val="18"/>
    </w:rPr>
  </w:style>
  <w:style w:type="paragraph" w:styleId="NoSpacing">
    <w:name w:val="No Spacing"/>
    <w:link w:val="NoSpacingChar"/>
    <w:uiPriority w:val="1"/>
    <w:qFormat/>
    <w:rsid w:val="00D945BE"/>
    <w:pPr>
      <w:spacing w:after="0" w:line="240" w:lineRule="auto"/>
    </w:pPr>
    <w:rPr>
      <w:rFonts w:eastAsiaTheme="minorEastAsia"/>
    </w:rPr>
  </w:style>
  <w:style w:type="character" w:customStyle="1" w:styleId="NoSpacingChar">
    <w:name w:val="No Spacing Char"/>
    <w:basedOn w:val="DefaultParagraphFont"/>
    <w:link w:val="NoSpacing"/>
    <w:uiPriority w:val="1"/>
    <w:rsid w:val="00D945BE"/>
    <w:rPr>
      <w:rFonts w:eastAsiaTheme="minorEastAsia"/>
    </w:rPr>
  </w:style>
  <w:style w:type="character" w:customStyle="1" w:styleId="Heading1Char">
    <w:name w:val="Heading 1 Char"/>
    <w:basedOn w:val="DefaultParagraphFont"/>
    <w:link w:val="Heading1"/>
    <w:uiPriority w:val="9"/>
    <w:rsid w:val="000B457B"/>
    <w:rPr>
      <w:rFonts w:eastAsiaTheme="majorEastAsia" w:cstheme="minorHAnsi"/>
      <w:sz w:val="28"/>
      <w:szCs w:val="28"/>
    </w:rPr>
  </w:style>
  <w:style w:type="paragraph" w:styleId="TOCHeading">
    <w:name w:val="TOC Heading"/>
    <w:basedOn w:val="Heading1"/>
    <w:next w:val="Normal"/>
    <w:uiPriority w:val="39"/>
    <w:unhideWhenUsed/>
    <w:qFormat/>
    <w:rsid w:val="000B457B"/>
    <w:pPr>
      <w:outlineLvl w:val="9"/>
    </w:pPr>
  </w:style>
  <w:style w:type="paragraph" w:styleId="TOC1">
    <w:name w:val="toc 1"/>
    <w:basedOn w:val="Normal"/>
    <w:next w:val="Normal"/>
    <w:autoRedefine/>
    <w:uiPriority w:val="39"/>
    <w:unhideWhenUsed/>
    <w:rsid w:val="000B457B"/>
    <w:pPr>
      <w:spacing w:after="100"/>
    </w:pPr>
  </w:style>
  <w:style w:type="paragraph" w:styleId="TOC2">
    <w:name w:val="toc 2"/>
    <w:basedOn w:val="Normal"/>
    <w:next w:val="Normal"/>
    <w:autoRedefine/>
    <w:uiPriority w:val="39"/>
    <w:unhideWhenUsed/>
    <w:rsid w:val="000B457B"/>
    <w:pPr>
      <w:spacing w:after="100"/>
      <w:ind w:left="220"/>
    </w:pPr>
    <w:rPr>
      <w:rFonts w:eastAsiaTheme="minorEastAsia" w:cs="Times New Roman"/>
    </w:rPr>
  </w:style>
  <w:style w:type="paragraph" w:styleId="TOC3">
    <w:name w:val="toc 3"/>
    <w:basedOn w:val="Normal"/>
    <w:next w:val="Normal"/>
    <w:autoRedefine/>
    <w:uiPriority w:val="39"/>
    <w:unhideWhenUsed/>
    <w:rsid w:val="000B457B"/>
    <w:pPr>
      <w:spacing w:after="100"/>
      <w:ind w:left="440"/>
    </w:pPr>
    <w:rPr>
      <w:rFonts w:eastAsiaTheme="minorEastAsia" w:cs="Times New Roman"/>
    </w:rPr>
  </w:style>
  <w:style w:type="character" w:styleId="Strong">
    <w:name w:val="Strong"/>
    <w:basedOn w:val="DefaultParagraphFont"/>
    <w:uiPriority w:val="22"/>
    <w:qFormat/>
    <w:rsid w:val="000B457B"/>
    <w:rPr>
      <w:b/>
      <w:bCs/>
    </w:rPr>
  </w:style>
  <w:style w:type="paragraph" w:styleId="NormalWeb">
    <w:name w:val="Normal (Web)"/>
    <w:basedOn w:val="Normal"/>
    <w:uiPriority w:val="99"/>
    <w:unhideWhenUsed/>
    <w:rsid w:val="004C1222"/>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C00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labor.ny.gov/workforcenypartners/lwia/lwia-occs.shtm"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589EDBDD0E4849B2FE2C6D4F7CC40F"/>
        <w:category>
          <w:name w:val="General"/>
          <w:gallery w:val="placeholder"/>
        </w:category>
        <w:types>
          <w:type w:val="bbPlcHdr"/>
        </w:types>
        <w:behaviors>
          <w:behavior w:val="content"/>
        </w:behaviors>
        <w:guid w:val="{795D56EA-FC19-4687-95F1-E5EE5EE2EAD2}"/>
      </w:docPartPr>
      <w:docPartBody>
        <w:p w:rsidR="00D57C97" w:rsidRDefault="00D57C97" w:rsidP="00D57C97">
          <w:pPr>
            <w:pStyle w:val="19589EDBDD0E4849B2FE2C6D4F7CC40F"/>
          </w:pPr>
          <w:r>
            <w:rPr>
              <w:rFonts w:asciiTheme="majorHAnsi" w:eastAsiaTheme="majorEastAsia" w:hAnsiTheme="majorHAnsi" w:cstheme="majorBidi"/>
              <w:color w:val="5B9BD5" w:themeColor="accent1"/>
              <w:sz w:val="88"/>
              <w:szCs w:val="88"/>
            </w:rPr>
            <w:t>[Document title]</w:t>
          </w:r>
        </w:p>
      </w:docPartBody>
    </w:docPart>
    <w:docPart>
      <w:docPartPr>
        <w:name w:val="78A8A33CC24B44D8BCBD8905FDCBDB86"/>
        <w:category>
          <w:name w:val="General"/>
          <w:gallery w:val="placeholder"/>
        </w:category>
        <w:types>
          <w:type w:val="bbPlcHdr"/>
        </w:types>
        <w:behaviors>
          <w:behavior w:val="content"/>
        </w:behaviors>
        <w:guid w:val="{7F6F80C7-7BD6-4863-8D6E-B28FA16F96C1}"/>
      </w:docPartPr>
      <w:docPartBody>
        <w:p w:rsidR="00D57C97" w:rsidRDefault="00D57C97" w:rsidP="00D57C97">
          <w:pPr>
            <w:pStyle w:val="78A8A33CC24B44D8BCBD8905FDCBDB86"/>
          </w:pPr>
          <w:r>
            <w:rPr>
              <w:color w:val="2E74B5"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F54"/>
    <w:rsid w:val="001B3053"/>
    <w:rsid w:val="002C3EC0"/>
    <w:rsid w:val="0037657C"/>
    <w:rsid w:val="00415BEE"/>
    <w:rsid w:val="00605421"/>
    <w:rsid w:val="00BB783F"/>
    <w:rsid w:val="00C42B3D"/>
    <w:rsid w:val="00C86EA8"/>
    <w:rsid w:val="00D57C97"/>
    <w:rsid w:val="00ED3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589EDBDD0E4849B2FE2C6D4F7CC40F">
    <w:name w:val="19589EDBDD0E4849B2FE2C6D4F7CC40F"/>
    <w:rsid w:val="00D57C97"/>
  </w:style>
  <w:style w:type="paragraph" w:customStyle="1" w:styleId="78A8A33CC24B44D8BCBD8905FDCBDB86">
    <w:name w:val="78A8A33CC24B44D8BCBD8905FDCBDB86"/>
    <w:rsid w:val="00D57C97"/>
  </w:style>
  <w:style w:type="character" w:styleId="PlaceholderText">
    <w:name w:val="Placeholder Text"/>
    <w:rsid w:val="00D57C97"/>
    <w:rPr>
      <w:rFonts w:cs="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A3412A-6AF4-45A3-820E-4055088FF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2915</Words>
  <Characters>16618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Regional Plan</vt:lpstr>
    </vt:vector>
  </TitlesOfParts>
  <Company>[Insert LWDA Name</Company>
  <LinksUpToDate>false</LinksUpToDate>
  <CharactersWithSpaces>19495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Plan</dc:title>
  <dc:subject>July 1, 2021 – June 30, 2025</dc:subject>
  <dc:creator>Townsend, Renae L (LABOR)</dc:creator>
  <cp:keywords/>
  <dc:description/>
  <cp:lastModifiedBy>Lewis, Pam</cp:lastModifiedBy>
  <cp:revision>3</cp:revision>
  <dcterms:created xsi:type="dcterms:W3CDTF">2022-03-07T18:30:00Z</dcterms:created>
  <dcterms:modified xsi:type="dcterms:W3CDTF">2022-03-07T18:33:00Z</dcterms:modified>
</cp:coreProperties>
</file>